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bidi w:val="1"/>
        <w:spacing w:after="360" w:line="360" w:lineRule="auto"/>
        <w:jc w:val="center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مسار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وتحديات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تطبيقها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العراق</w:t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مسار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يوجد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الكثير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المفاهيم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والمصطلحات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الأجنبية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انتشرت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الوطن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العربي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تلك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المفاهيم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مسار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تعد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عبارة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تعاون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حكومي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يضم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48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دولة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مجال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حيث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اتجاهه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المشترك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للهيئات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الحكومية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والمؤسسات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والمدرسية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والطلاب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وغيرها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الجهات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الأخرى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تهدف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الخطة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28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المقصود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بمسار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يعتبر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الخطط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التعاونية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الحكومية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تضم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48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دولة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متخصصه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مجال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تهدف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تحسين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ومداومة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إعطاء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الطالب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دورا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مميزا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وأساسيا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غي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تحسين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يعد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مشروع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المشاريع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الحكومية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تهدف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تحسين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وإنشاء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منطقة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طريق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معايير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الدرجة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ومعايير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ضمان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الجودة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كافة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أنحاء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القارة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لكل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كلية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وتطورها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28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نظام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المقررات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الأوروبي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للجامعات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يعتبر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نظام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المقررات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نظام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0"/>
        </w:rPr>
        <w:t xml:space="preserve">ECTS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مناهج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وأشكال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دراسية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متنوعة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يعد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النظام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الأنظمة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تجعل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الحصول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قارة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أوروبا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جاذبية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للتلاميذ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القارات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الأخرى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حيث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نظام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0"/>
        </w:rPr>
        <w:t xml:space="preserve">ECTS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اتفاقية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نص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60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ساعة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دراسية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معتمدة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تمثل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عبء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التلميذ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بدوام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كامل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حيث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يساعد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تحيد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مدى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فعالية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نجاح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شرح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وفهم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المادة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لدى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الطلاب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ومفتاح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الدخول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إلي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الأمريكية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28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نظام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يعتبر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نظام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الدراس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الخطط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والاستراتيجيات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لتطور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العلم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والعلوم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والطلاب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العديد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المجالات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القارة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بهدف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النهوض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وتميزه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حيث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تتعاون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48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دولة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اجل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تطور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والتعلم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مجال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كذلك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اتجاهه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المشترك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للهيئات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الحكومية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والمدرسين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والتلاميذ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الجمعيات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وأصحاب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بهدف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تحسين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ومداومة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توقيع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كالاتفاقية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1999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وكان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29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دولة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لتحسين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المستوي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النهاية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التعرف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الخطط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التعاونية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القارة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مسار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وتم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التعرف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تتعلق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أهمية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مشروع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</w:p>
    <w:p w:rsidR="00000000" w:rsidDel="00000000" w:rsidP="00000000" w:rsidRDefault="00000000" w:rsidRPr="00000000" w14:paraId="0000000B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يعد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مشروع</w:t>
      </w:r>
      <w:hyperlink r:id="rId6">
        <w:r w:rsidDel="00000000" w:rsidR="00000000" w:rsidRPr="00000000">
          <w:rPr>
            <w:rtl w:val="0"/>
          </w:rPr>
        </w:r>
      </w:hyperlink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1"/>
          </w:rPr>
          <w:t xml:space="preserve"> </w:t>
        </w:r>
      </w:hyperlink>
      <w:hyperlink r:id="rId8">
        <w:r w:rsidDel="00000000" w:rsidR="00000000" w:rsidRPr="00000000">
          <w:rPr>
            <w:color w:val="0563c1"/>
            <w:sz w:val="28"/>
            <w:szCs w:val="28"/>
            <w:u w:val="single"/>
            <w:rtl w:val="1"/>
          </w:rPr>
          <w:t xml:space="preserve">بولونيا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 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المشاريع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أدرجت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تحديدا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قارة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أوروبا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ويضم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قرابة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الثمانية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وأربعين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دولة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وكان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سبب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انشاء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الصعوبة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تواجه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المؤهلات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التقديم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عمل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برنامج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احدى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البلاد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بلدهم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الأصل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الجدير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بالتطرق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يساعد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أيضا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جعل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بأكملها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ذات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جودة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أعلى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ودقة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أكبر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وهذا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سبب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وضعها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ضمن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التنافسية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يعتبر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اليوم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فخر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أوروبا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ويسمى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أحد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المشاريع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العملاقة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نجاحا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2012 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شر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الولايات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المتحدة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كتاب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"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تحدي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"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للكاتب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غاستون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والذي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يتناول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الاجابة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التسائل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الرئيسي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: "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يتعلمه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الولايات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المتحدة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أوروبا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ولماذا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نتعلم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."</w:t>
      </w:r>
    </w:p>
    <w:p w:rsidR="00000000" w:rsidDel="00000000" w:rsidP="00000000" w:rsidRDefault="00000000" w:rsidRPr="00000000" w14:paraId="0000000D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الواضح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نجح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نجاحا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باهرا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يمكننا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اليوم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تقييم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جودة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الاوربي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اليوم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إيجابي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بحيث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يمكننا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بثقة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نضع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الاوربية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ضمن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افضل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بالطبع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يزال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هناك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الكثير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الذي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يتعين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القيام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ولكن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إذا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تصنيف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فستكون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مؤسسات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الاوربية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مقارنة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بالجامعات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الامريكية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والبريطانية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500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جامعة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سر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نجاح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</w:p>
    <w:p w:rsidR="00000000" w:rsidDel="00000000" w:rsidP="00000000" w:rsidRDefault="00000000" w:rsidRPr="00000000" w14:paraId="0000000F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مشروع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العراق</w:t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ملاحظة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نجاح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مسار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امتد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البعض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الأخرى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اجل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استهلاك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طاقة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الشباب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والاستفادة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قدر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المستطاع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تطوير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الالكتروني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وجعله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اعلى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مراحل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التطور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وكان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رأس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تلك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الدول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العراق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والذي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اعتمد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وزارة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بإقليم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كردستان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بالشكل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الرسمي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البعض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الشروط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والمعايير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الواجب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الاطلاع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الطلاب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ليكون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شعارهم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والأخير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الهدف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تأسيس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مشروعها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الابتكار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والتطوير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والتجديد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وتأمين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المهني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العملي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 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تعد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أنظمة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ضرورية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لتطوير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قطاعات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اقتصاد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البلد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العراق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الضروري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رفع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معايير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والتوفيق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أفضل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الأوساط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واحتياجات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سوق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المؤتمر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استكشاف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الأبعاد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لتحديث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وتطوير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أنظمة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العراقية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إعطاء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الطالب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ً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رئيسي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ً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التحسين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هذه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مشروع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عبارة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حكومية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دولية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تهدف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تحسين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تضم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حتى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الآن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49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دولة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عددا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المنظمات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يوفر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 </w:t>
      </w:r>
      <w:hyperlink r:id="rId9">
        <w:r w:rsidDel="00000000" w:rsidR="00000000" w:rsidRPr="00000000">
          <w:rPr>
            <w:color w:val="0563c1"/>
            <w:sz w:val="28"/>
            <w:szCs w:val="28"/>
            <w:u w:val="single"/>
            <w:rtl w:val="1"/>
          </w:rPr>
          <w:t xml:space="preserve">مشروع</w:t>
        </w:r>
      </w:hyperlink>
      <w:hyperlink r:id="rId10">
        <w:r w:rsidDel="00000000" w:rsidR="00000000" w:rsidRPr="00000000">
          <w:rPr>
            <w:color w:val="0563c1"/>
            <w:sz w:val="28"/>
            <w:szCs w:val="28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0563c1"/>
            <w:sz w:val="28"/>
            <w:szCs w:val="28"/>
            <w:u w:val="single"/>
            <w:rtl w:val="1"/>
          </w:rPr>
          <w:t xml:space="preserve">بولونيا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 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منصة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للطلاب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للانخراط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تطوير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دراساتهم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مشروع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 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بولونيا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يعني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بنشاط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تحسين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نظام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الطالب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قلب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القصة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نعتقد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أنه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إعطاء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الطلاب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دور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ً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رئيسي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ً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المساهمة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التغييرات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الجوهرية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ومستقبل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مجتمعهم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وبلدهم</w:t>
      </w:r>
      <w:r w:rsidDel="00000000" w:rsidR="00000000" w:rsidRPr="00000000">
        <w:rPr>
          <w:color w:val="555555"/>
          <w:sz w:val="28"/>
          <w:szCs w:val="28"/>
          <w:rtl w:val="1"/>
        </w:rPr>
        <w:t xml:space="preserve">”.</w:t>
      </w:r>
    </w:p>
    <w:p w:rsidR="00000000" w:rsidDel="00000000" w:rsidP="00000000" w:rsidRDefault="00000000" w:rsidRPr="00000000" w14:paraId="00000016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bidi w:val="1"/>
        <w:spacing w:after="360" w:before="280" w:line="360" w:lineRule="auto"/>
        <w:jc w:val="both"/>
        <w:rPr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ehea.info/" TargetMode="External"/><Relationship Id="rId10" Type="http://schemas.openxmlformats.org/officeDocument/2006/relationships/hyperlink" Target="http://www.ehea.info/" TargetMode="External"/><Relationship Id="rId9" Type="http://schemas.openxmlformats.org/officeDocument/2006/relationships/hyperlink" Target="http://www.ehea.info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srynet.com/category/%d9%85%d9%86%d9%88%d8%b9%d8%a7%d8%aa/" TargetMode="External"/><Relationship Id="rId7" Type="http://schemas.openxmlformats.org/officeDocument/2006/relationships/hyperlink" Target="https://www.masrynet.com/category/%d9%85%d9%86%d9%88%d8%b9%d8%a7%d8%aa/" TargetMode="External"/><Relationship Id="rId8" Type="http://schemas.openxmlformats.org/officeDocument/2006/relationships/hyperlink" Target="https://www.masrynet.com/category/%d9%85%d9%86%d9%88%d8%b9%d8%a7%d8%a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