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النشاطات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11/10/2022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للابتزاز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الالكتروني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الفيزياء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محاضرة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توعوية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انفتاحا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وحصلت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قفزة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وخصوصا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الانترنيت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واصبح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الاطلاع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بالتعرف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المستجدات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اظهرت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السلبيات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اساءوا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الابتزاز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شكاوى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ودعاوى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قضائيه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تعرضهم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للابتزاز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سنتطرق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للابتزاز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الابتزاز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توعية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والتدريسيين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محاضري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         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dr.natik@yahoo.com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bookmarkStart w:colFirst="0" w:colLast="0" w:name="_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0770 344 0414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071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r.nati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