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6E" w:rsidRPr="00FE6467" w:rsidRDefault="00596D6E" w:rsidP="00596D6E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</w:pPr>
      <w:r w:rsidRPr="00825F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GB" w:eastAsia="en-GB"/>
        </w:rPr>
        <w:t>ال</w:t>
      </w:r>
      <w:r w:rsidRPr="00825F1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GB" w:eastAsia="en-GB"/>
        </w:rPr>
        <w:t>م</w:t>
      </w:r>
      <w:r w:rsidRPr="00825F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GB" w:eastAsia="en-GB"/>
        </w:rPr>
        <w:t>ستخل</w:t>
      </w:r>
      <w:r w:rsidRPr="00825F1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GB" w:eastAsia="en-GB"/>
        </w:rPr>
        <w:t>ص</w:t>
      </w:r>
      <w:r w:rsidRPr="00825F1F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</w:p>
    <w:p w:rsidR="00596D6E" w:rsidRPr="00FE6467" w:rsidRDefault="00596D6E" w:rsidP="00596D6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فرط شحيمات الدم هو ارتفاع في مستويات الدهون الثلاثية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والكوليسترول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البلازمة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, ويحدث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نتيجةاضطراب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في أيض البروتينات الدهنية في البلازما,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اما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بسبب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تاخر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تحليلها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او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تسارع في تصنيعها , مما يؤدي الى ارتفاع مستويات البروتينات الدهنية او الدهون في البلازما. هدفت هذه الدراسة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الى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تحديد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تاثير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السيفالكسين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الاموكسيسيلين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على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المايكروبات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الطبيعية , والذي قد تؤثر بدورة على الحركة الدوائية والديناميكية الدوائية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للروسوفاستاتين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الارانب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المصابة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بفرط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المستجدث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. وقد تم تقسيم الدراسة الى تجربتين: التجربة الاولى (الحركة الدوائية), تم تقسيم 15 ارنب الى ثلاث مجاميع (5 ارانب لكل مجموعة) وتغذيتها غلى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نظامغذائي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يحتوي على 1.3% كوليسترول و 3% دهون مشبعة لمدة اربعون يوما, وقسمة المجموعات كما يلي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: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المجموعة الأولى: حيوانات بفرط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(0.88 ملغم/كغم فمويًا)،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المجموعة الثانية: حيوانات مصابة بفرط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السيفالكسين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(0.88 ملغم/كغم + 22.14 ملغم/كغم فمويًا)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، المجموعة الثالثة: حيوانات مصابة بفرط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الاموكسيسيلين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(26.57)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(0.88 ملغم/كغم + 22.14 ملغم/كغم فمويًا),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لمدة 7. تم جمع عينات الدم عند نقاط زمنية محددة (من 10 دقيقة إلى 24 ساعة بعد الجرعة) من مواقع متعددة. تم تحليل تركيز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باستخدام جهاز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الكروماتوغ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السائل عالي الاداء (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HPLC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).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اظهرت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النتائج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المشاركة بين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المضادين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الحيوين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(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السيفالكسين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الاموكسيسيلين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) في مجموعة 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المستحدث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الى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انخفاض ملحوظ في كل من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 max 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(0.67 و0.76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ميكروكرام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/ مل ),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AUC 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(68.01 و78.90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ميكروكرام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* ساعة /مل), وارتفاع فيلا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T1/2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(22.46 و 23.49 ساعة) بينما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لوحض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ارتفاع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K</w:t>
      </w:r>
      <w:r w:rsidRPr="00FE64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GB"/>
        </w:rPr>
        <w:t>e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sz w:val="28"/>
          <w:szCs w:val="28"/>
          <w:vertAlign w:val="subscript"/>
          <w:rtl/>
          <w:lang w:eastAsia="en-GB"/>
        </w:rPr>
        <w:t xml:space="preserve"> </w:t>
      </w:r>
      <w:r w:rsidRPr="00FE6467">
        <w:rPr>
          <w:rFonts w:ascii="Times New Roman" w:hAnsi="Times New Roman" w:cs="Times New Roman"/>
          <w:sz w:val="28"/>
          <w:szCs w:val="28"/>
          <w:rtl/>
        </w:rPr>
        <w:t xml:space="preserve">(0.30 و 0.29 1/ساعة), CL (0.018 و 0.025 </w:t>
      </w:r>
      <w:proofErr w:type="spellStart"/>
      <w:r w:rsidRPr="00FE6467">
        <w:rPr>
          <w:rFonts w:ascii="Times New Roman" w:hAnsi="Times New Roman" w:cs="Times New Roman"/>
          <w:sz w:val="28"/>
          <w:szCs w:val="28"/>
          <w:rtl/>
        </w:rPr>
        <w:t>ميكروغرام</w:t>
      </w:r>
      <w:proofErr w:type="spellEnd"/>
      <w:r w:rsidRPr="00FE6467">
        <w:rPr>
          <w:rFonts w:ascii="Times New Roman" w:hAnsi="Times New Roman" w:cs="Times New Roman"/>
          <w:sz w:val="28"/>
          <w:szCs w:val="28"/>
          <w:rtl/>
        </w:rPr>
        <w:t xml:space="preserve"> /مل/ساعة), و </w:t>
      </w:r>
      <w:r w:rsidRPr="00FE6467">
        <w:rPr>
          <w:rFonts w:ascii="Times New Roman" w:hAnsi="Times New Roman" w:cs="Times New Roman"/>
          <w:sz w:val="28"/>
          <w:szCs w:val="28"/>
        </w:rPr>
        <w:t xml:space="preserve">T max </w:t>
      </w:r>
      <w:r w:rsidRPr="00FE6467">
        <w:rPr>
          <w:rFonts w:ascii="Times New Roman" w:hAnsi="Times New Roman" w:cs="Times New Roman"/>
          <w:sz w:val="28"/>
          <w:szCs w:val="28"/>
          <w:rtl/>
        </w:rPr>
        <w:t xml:space="preserve"> ( 148 ساعة ).تشير </w:t>
      </w:r>
      <w:r w:rsidRPr="00FE6467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هذه التغيرات </w:t>
      </w:r>
      <w:proofErr w:type="spellStart"/>
      <w:r w:rsidRPr="00FE6467">
        <w:rPr>
          <w:rFonts w:ascii="Times New Roman" w:hAnsi="Times New Roman" w:cs="Times New Roman"/>
          <w:sz w:val="28"/>
          <w:szCs w:val="28"/>
          <w:rtl/>
        </w:rPr>
        <w:t>الى</w:t>
      </w:r>
      <w:proofErr w:type="spellEnd"/>
      <w:r w:rsidRPr="00FE6467">
        <w:rPr>
          <w:rFonts w:ascii="Times New Roman" w:hAnsi="Times New Roman" w:cs="Times New Roman"/>
          <w:sz w:val="28"/>
          <w:szCs w:val="28"/>
          <w:rtl/>
        </w:rPr>
        <w:t xml:space="preserve"> انخفاض في الامتصاص وزيادة في الطرح عند التشارك مع المضادات الحيوية.</w:t>
      </w:r>
    </w:p>
    <w:p w:rsidR="00596D6E" w:rsidRDefault="00596D6E" w:rsidP="00596D6E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</w:pPr>
      <w:r w:rsidRPr="00FE6467">
        <w:rPr>
          <w:rFonts w:ascii="Times New Roman" w:hAnsi="Times New Roman" w:cs="Times New Roman"/>
          <w:sz w:val="28"/>
          <w:szCs w:val="28"/>
          <w:rtl/>
        </w:rPr>
        <w:t xml:space="preserve">اما في التجربة الثانية ( الديناميكيا الدوائية) فتم تقسيم 25 </w:t>
      </w:r>
      <w:proofErr w:type="spellStart"/>
      <w:r w:rsidRPr="00FE6467">
        <w:rPr>
          <w:rFonts w:ascii="Times New Roman" w:hAnsi="Times New Roman" w:cs="Times New Roman"/>
          <w:sz w:val="28"/>
          <w:szCs w:val="28"/>
          <w:rtl/>
        </w:rPr>
        <w:t>ارنبآ</w:t>
      </w:r>
      <w:proofErr w:type="spellEnd"/>
      <w:r w:rsidRPr="00FE6467"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FE6467">
        <w:rPr>
          <w:rFonts w:ascii="Times New Roman" w:hAnsi="Times New Roman" w:cs="Times New Roman"/>
          <w:sz w:val="28"/>
          <w:szCs w:val="28"/>
          <w:rtl/>
        </w:rPr>
        <w:t>الى</w:t>
      </w:r>
      <w:proofErr w:type="spellEnd"/>
      <w:r w:rsidRPr="00FE6467">
        <w:rPr>
          <w:rFonts w:ascii="Times New Roman" w:hAnsi="Times New Roman" w:cs="Times New Roman"/>
          <w:sz w:val="28"/>
          <w:szCs w:val="28"/>
          <w:rtl/>
        </w:rPr>
        <w:t xml:space="preserve"> خمسة مجاميع (5 ارانب لكل مجموعة) كما يلي : 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المجموعة الأولى: حيوانات سليمة,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الجموعة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الثانية: حيوانات مصابة بفرط شحميات الدم بدون علاج: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الجموعة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الثالثة: حيوانات مصابة بفرط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(0.88 ملغم/كغم فمويًا)،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المجموعة الرابعة: حيوانات مصابة بفرط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السيفالكسين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(0.88 ملغم/كغم + 22.14 ملغم/كغم فمويًا)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، المجموعة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ااخامسة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: حيوانات مصابة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بفرط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شحميات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الدم ومعالجتها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الاموكسيسيلين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(26.57)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(0.88 ملغم/كغم + 22.14 ملغم/كغم فمويًا),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لمدة 28 يوم. تم تقيم عدد من المؤشرات الحيوية والتغيرات النسيجية. اظهر العلاج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بالروسوفاستاتين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انخفاض ملحوظ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الكوليسترول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والدهون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الثلالثية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و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LDL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و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VLDL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. وارتفاع في مستويات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HDL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ونشاط </w:t>
      </w:r>
      <w:r w:rsidRPr="00FE6467">
        <w:rPr>
          <w:rFonts w:ascii="Times New Roman" w:eastAsia="Times New Roman" w:hAnsi="Times New Roman" w:cs="Times New Roman"/>
          <w:sz w:val="28"/>
          <w:szCs w:val="28"/>
          <w:lang w:eastAsia="en-GB"/>
        </w:rPr>
        <w:t>SOD</w:t>
      </w:r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انسجة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شريان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الابهربالمقارنة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مع باقي المجاميع, كما انخفضت مستويات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الفايبرنوجين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بشكل ملحوظ . بالمقابل انغاض عدد البكتيريا الطبيعية (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لكتيوباسيلس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)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والاحماض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الدهنية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قصيرة السلسلة في المجاميع المستخدم بها مضادات حيوية. واظهر الفحص النسيجي لشريان الابهر وجود تضخم في الطبقة الداخلية وفراغات خلوية, مع ودود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خلاية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دهنية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في الطبقة الوسطى, دون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ظهورلويحات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تصلبية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. اما انسجة الكبد فقد اظهرت فراغات خلوية خفيفة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الى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متوسطة في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الخلاية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الكبدية, وكانت هذه التغيرات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اكثر</w:t>
      </w:r>
      <w:proofErr w:type="spellEnd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وضوحا </w:t>
      </w:r>
      <w:proofErr w:type="spellStart"/>
      <w:r w:rsidRPr="00FE6467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مقار</w:t>
      </w:r>
      <w:r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نتآ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بمجموعة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الروسافستاتين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وحده</w:t>
      </w:r>
    </w:p>
    <w:p w:rsidR="00596D6E" w:rsidRPr="00E114EB" w:rsidRDefault="00596D6E" w:rsidP="00596D6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6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Pr="00FE6467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وفي الختام: </w:t>
      </w:r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اظهرت استخدام المضادات الحيوية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تأثيرآ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سلبية على علاج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الروسافستاين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من خلال تأثيرها على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المايكروبات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الطبيعية في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الامعاء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مما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ادا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الى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قلة </w:t>
      </w:r>
      <w:proofErr w:type="spellStart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>تركيزة</w:t>
      </w:r>
      <w:proofErr w:type="spellEnd"/>
      <w:r w:rsidRPr="00E114EB">
        <w:rPr>
          <w:rFonts w:ascii="Times New Roman" w:eastAsia="Times New Roman" w:hAnsi="Times New Roman" w:cs="Times New Roman"/>
          <w:bCs/>
          <w:sz w:val="28"/>
          <w:szCs w:val="28"/>
          <w:rtl/>
          <w:lang w:val="en-GB" w:eastAsia="en-GB"/>
        </w:rPr>
        <w:t xml:space="preserve"> في الدم واثر على فعالية العلاج .</w:t>
      </w:r>
      <w:r w:rsidRPr="00E114EB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 xml:space="preserve"> </w:t>
      </w:r>
    </w:p>
    <w:p w:rsidR="00596D6E" w:rsidRDefault="00596D6E" w:rsidP="00596D6E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96D6E" w:rsidRPr="00596D6E" w:rsidRDefault="00596D6E" w:rsidP="00596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D6E" w:rsidRPr="00596D6E" w:rsidRDefault="00596D6E" w:rsidP="00596D6E">
      <w:pPr>
        <w:bidi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</w:pPr>
    </w:p>
    <w:p w:rsidR="000807CE" w:rsidRDefault="000807CE"/>
    <w:sectPr w:rsidR="000807CE" w:rsidSect="00BF1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1B3A"/>
    <w:multiLevelType w:val="multilevel"/>
    <w:tmpl w:val="4FC8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00A59"/>
    <w:multiLevelType w:val="multilevel"/>
    <w:tmpl w:val="4FC8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219B"/>
    <w:rsid w:val="000807CE"/>
    <w:rsid w:val="004B0019"/>
    <w:rsid w:val="00584718"/>
    <w:rsid w:val="00596D6E"/>
    <w:rsid w:val="005A455D"/>
    <w:rsid w:val="005E0B66"/>
    <w:rsid w:val="00622FBA"/>
    <w:rsid w:val="008836AA"/>
    <w:rsid w:val="008F0EE2"/>
    <w:rsid w:val="00AB49FE"/>
    <w:rsid w:val="00B446FB"/>
    <w:rsid w:val="00BF1CE3"/>
    <w:rsid w:val="00D4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BA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D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DR.Ahmed Saker 2O14</cp:lastModifiedBy>
  <cp:revision>50</cp:revision>
  <dcterms:created xsi:type="dcterms:W3CDTF">2025-09-18T07:58:00Z</dcterms:created>
  <dcterms:modified xsi:type="dcterms:W3CDTF">2025-10-29T07:48:00Z</dcterms:modified>
</cp:coreProperties>
</file>