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85" w:rsidRDefault="00610A85" w:rsidP="00610A85">
      <w:r>
        <w:t>Recommendations:</w:t>
      </w:r>
    </w:p>
    <w:p w:rsidR="00610A85" w:rsidRDefault="00610A85" w:rsidP="00610A85"/>
    <w:p w:rsidR="00610A85" w:rsidRDefault="00610A85" w:rsidP="00610A85">
      <w:r>
        <w:t>The Proposed Amendment to Article 57 on Custody and Its Impact on Domestic and Societal Violence</w:t>
      </w:r>
    </w:p>
    <w:p w:rsidR="00610A85" w:rsidRDefault="00610A85" w:rsidP="00610A85"/>
    <w:p w:rsidR="00610A85" w:rsidRDefault="00610A85" w:rsidP="00610A85">
      <w:r>
        <w:t>The seminar concluded with several recommendations, including:</w:t>
      </w:r>
    </w:p>
    <w:p w:rsidR="00610A85" w:rsidRDefault="00610A85" w:rsidP="00610A85">
      <w:r>
        <w:t xml:space="preserve"> 1. Maintaining the current custody age (10 years) and refraining from amending Article 57.</w:t>
      </w:r>
    </w:p>
    <w:p w:rsidR="00610A85" w:rsidRDefault="00610A85" w:rsidP="00610A85">
      <w:r>
        <w:t xml:space="preserve"> 2. Amending the law to ensure the father’s regular visitation rights with his child, including allowing overnight stays more frequently each month.</w:t>
      </w:r>
    </w:p>
    <w:p w:rsidR="00180036" w:rsidRDefault="00610A85" w:rsidP="00610A85">
      <w:r>
        <w:t xml:space="preserve"> 3. Strengthening mechanisms to support children psychologically and socially after divorce to ensure their stability.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180036"/>
    <w:rsid w:val="006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2025-05-25T06:50:00Z</dcterms:created>
  <dcterms:modified xsi:type="dcterms:W3CDTF">2025-05-25T06:52:00Z</dcterms:modified>
</cp:coreProperties>
</file>