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8FE5" w14:textId="22F46D02" w:rsidR="000A43A5" w:rsidRPr="000A43A5" w:rsidRDefault="000A43A5" w:rsidP="000A43A5">
      <w:pPr>
        <w:jc w:val="right"/>
        <w:rPr>
          <w:lang w:bidi="ar-IQ"/>
        </w:rPr>
      </w:pPr>
      <w:r w:rsidRPr="000A43A5">
        <w:rPr>
          <w:b/>
          <w:bCs/>
          <w:rtl/>
        </w:rPr>
        <w:t>التغير المناخي وأثره في العراق: رؤية مستقبلية للمنهاج الوزاري الحكومي ومعالجة الظاهرة وفق أهداف التنمية المستدامة</w:t>
      </w:r>
    </w:p>
    <w:p w14:paraId="113C254D" w14:textId="77777777" w:rsidR="000A43A5" w:rsidRPr="000A43A5" w:rsidRDefault="000A43A5" w:rsidP="000A43A5">
      <w:pPr>
        <w:jc w:val="right"/>
        <w:rPr>
          <w:lang w:bidi="ar-IQ"/>
        </w:rPr>
      </w:pPr>
      <w:r w:rsidRPr="000A43A5">
        <w:rPr>
          <w:rtl/>
        </w:rPr>
        <w:t>يشكل التغير المناخي أحد أبرز التحديات البيئية التي تواجه العالم في القرن الحادي والعشرين، إذ يؤدي إلى آثار واسعة النطاق على النظم البيئية، والموارد الطبيعية، والاقتصادات الوطنية، والصحة العامة. وفي العراق، تتجلى آثار التغير المناخي بشكل واضح من خلال ارتفاع درجات الحرارة، وزيادة وتيرة موجات الجفاف، وتقلص المسطحات المائية، وارتفاع مستويات التصحر، إلى جانب التغيرات في معدلات هطول الأمطار وتأثيرها على الإنتاج الزراعي. ومع هذه التحديات، أصبح من الضروري وضع استراتيجيات مستقبلية شاملة ضمن المناهج الوزارية الحكومية تهدف إلى التكيف مع هذه الظاهرة والحد من آثارها، بما يتماشى مع أهداف التنمية المستدامة للأمم المتحدة</w:t>
      </w:r>
      <w:r w:rsidRPr="000A43A5">
        <w:rPr>
          <w:lang w:bidi="ar-IQ"/>
        </w:rPr>
        <w:t>.</w:t>
      </w:r>
    </w:p>
    <w:p w14:paraId="4B6FBE08" w14:textId="77777777" w:rsidR="000A43A5" w:rsidRPr="000A43A5" w:rsidRDefault="000A43A5" w:rsidP="000A43A5">
      <w:pPr>
        <w:jc w:val="right"/>
        <w:rPr>
          <w:lang w:bidi="ar-IQ"/>
        </w:rPr>
      </w:pPr>
      <w:r w:rsidRPr="000A43A5">
        <w:rPr>
          <w:rtl/>
        </w:rPr>
        <w:t>تُشير الدراسات المناخية إلى أن العراق يعاني من ضغوط بيئية متزايدة نتيجة التغير المناخي، خاصة في مناطق الجنوب والغرب التي تشهد ارتفاعًا حادًا في درجات الحرارة وجفافًا مستمرًا. وهذا يؤثر بشكل مباشر على الموارد المائية، حيث تقل تدفقات نهري دجلة والفرات، وتتراجع مخزونات المياه الجوفية. كما تؤثر هذه الظروف على الإنتاج الزراعي، مما يزيد من احتمالية نقص الغذاء وارتفاع أسعار المواد الغذائية، ويهدد الأمن الغذائي للبلاد. لذلك، يصبح دمج مفاهيم التغير المناخي ضمن المناهج التعليمية جزءًا أساسيًا من استراتيجيات الحكومة للتوعية والتخطيط المستقبلي</w:t>
      </w:r>
      <w:r w:rsidRPr="000A43A5">
        <w:rPr>
          <w:lang w:bidi="ar-IQ"/>
        </w:rPr>
        <w:t>.</w:t>
      </w:r>
    </w:p>
    <w:p w14:paraId="18DA288D" w14:textId="77777777" w:rsidR="000A43A5" w:rsidRPr="000A43A5" w:rsidRDefault="000A43A5" w:rsidP="000A43A5">
      <w:pPr>
        <w:jc w:val="right"/>
        <w:rPr>
          <w:lang w:bidi="ar-IQ"/>
        </w:rPr>
      </w:pPr>
      <w:r w:rsidRPr="000A43A5">
        <w:rPr>
          <w:rtl/>
        </w:rPr>
        <w:t>إن إدماج التغير المناخي في المناهج الوزارية يتيح فرصة لتعريف الطلاب بمخاطر الظاهرة وسبل التكيف معها، ويعزز لديهم الوعي البيئي والمسؤولية تجاه حماية الموارد الطبيعية. وينبغي أن يشمل المنهاج مواضيع حول أسباب التغير المناخي، مثل الانبعاثات الغازية الناتجة عن الصناعة والنقل، وإزالة الغابات، والنشاطات البشرية المختلفة. كما يجب توضيح الآثار المترتبة على البيئة والمجتمع، بما في ذلك الصحة العامة، والزراعة، والمياه، والطاقة، والتنوع البيولوجي. ويُعد التفسير العلمي لهذه الظاهرة جزءًا أساسيًا لتعزيز فهم الطلاب لأهمية اتخاذ إجراءات وقائية على المستوى الفردي والجماعي</w:t>
      </w:r>
      <w:r w:rsidRPr="000A43A5">
        <w:rPr>
          <w:lang w:bidi="ar-IQ"/>
        </w:rPr>
        <w:t>.</w:t>
      </w:r>
    </w:p>
    <w:p w14:paraId="0452756E" w14:textId="77777777" w:rsidR="000A43A5" w:rsidRPr="000A43A5" w:rsidRDefault="000A43A5" w:rsidP="000A43A5">
      <w:pPr>
        <w:jc w:val="right"/>
        <w:rPr>
          <w:lang w:bidi="ar-IQ"/>
        </w:rPr>
      </w:pPr>
      <w:r w:rsidRPr="000A43A5">
        <w:rPr>
          <w:rtl/>
        </w:rPr>
        <w:t>ومن جانب آخر، يمكن للمنهاج الوزاري أن يشجع على تبني استراتيجيات التكيف مع التغير المناخي من خلال مشاريع عملية وأنشطة تعليمية. فمثلاً، يمكن تنفيذ برامج لزراعة الأشجار في المدارس، أو تنظيم حملات لتوفير الطاقة والمياه، أو تطبيق أساليب الزراعة المستدامة في الأنشطة المدرسية. كما يمكن إدراج ورش عمل تعليمية تحاكي إدارة الموارد الطبيعية ومواجهة الظواهر المناخية القاسية، مما يُنمّي مهارات حل المشكلات والابتكار لدى الطلاب ويعدّهم للمشاركة الفاعلة في مواجهة التحديات المستقبلية</w:t>
      </w:r>
      <w:r w:rsidRPr="000A43A5">
        <w:rPr>
          <w:lang w:bidi="ar-IQ"/>
        </w:rPr>
        <w:t>.</w:t>
      </w:r>
    </w:p>
    <w:p w14:paraId="6A6FA605" w14:textId="77777777" w:rsidR="000A43A5" w:rsidRPr="000A43A5" w:rsidRDefault="000A43A5" w:rsidP="000A43A5">
      <w:pPr>
        <w:jc w:val="right"/>
        <w:rPr>
          <w:lang w:bidi="ar-IQ"/>
        </w:rPr>
      </w:pPr>
      <w:r w:rsidRPr="000A43A5">
        <w:rPr>
          <w:rtl/>
        </w:rPr>
        <w:t>إن معالجة التغير المناخي في العراق وفق أهداف التنمية المستدامة تتطلب دمج ثلاثة محاور رئيسية في السياسات التعليمية والحكومية: التخفيف، والتكيف، والوعي البيئي. التخفيف يعني تقليل الانبعاثات الضارة والاعتماد على مصادر طاقة نظيفة مثل الطاقة الشمسية وطاقة الرياح، بما يساهم في الحد من تأثير الغازات الدفيئة. أما التكيف فيشمل تطوير البنية التحتية المقاومة للجفاف والفيضانات، وتحسين إدارة المياه، وتعزيز الزراعة المستدامة. وأخيرًا، يشمل الوعي البيئي نشر المعرفة بين الطلاب والمجتمع حول أهمية حماية البيئة واستخدام الموارد الطبيعية بحكمة</w:t>
      </w:r>
      <w:r w:rsidRPr="000A43A5">
        <w:rPr>
          <w:lang w:bidi="ar-IQ"/>
        </w:rPr>
        <w:t>.</w:t>
      </w:r>
    </w:p>
    <w:p w14:paraId="5840FC56" w14:textId="77777777" w:rsidR="000A43A5" w:rsidRPr="000A43A5" w:rsidRDefault="000A43A5" w:rsidP="000A43A5">
      <w:pPr>
        <w:jc w:val="right"/>
        <w:rPr>
          <w:lang w:bidi="ar-IQ"/>
        </w:rPr>
      </w:pPr>
      <w:r w:rsidRPr="000A43A5">
        <w:rPr>
          <w:rtl/>
        </w:rPr>
        <w:t>ومن الجوانب الهامة في رؤية المستقبلية للمنهاج الوزاري الحكومي هو التركيز على دمج العلوم والتكنولوجيا في التعليم البيئي. فالتقنيات الحديثة، مثل الاستشعار عن بعد ونظم المعلومات الجغرافية</w:t>
      </w:r>
      <w:r w:rsidRPr="000A43A5">
        <w:rPr>
          <w:lang w:bidi="ar-IQ"/>
        </w:rPr>
        <w:t xml:space="preserve"> (GIS)</w:t>
      </w:r>
      <w:r w:rsidRPr="000A43A5">
        <w:rPr>
          <w:rtl/>
        </w:rPr>
        <w:t>، تساعد على متابعة التغيرات المناخية، وتحليل البيانات البيئية، واتخاذ القرارات المبنية على الأدلة. وعندما يتعلم الطلاب كيفية استخدام هذه الأدوات، فإنهم يصبحون قادرين على المساهمة في الحلول العملية لمواجهة آثار التغير المناخي على مستوى محلي ووطني</w:t>
      </w:r>
      <w:r w:rsidRPr="000A43A5">
        <w:rPr>
          <w:lang w:bidi="ar-IQ"/>
        </w:rPr>
        <w:t>.</w:t>
      </w:r>
    </w:p>
    <w:p w14:paraId="501D4602" w14:textId="77777777" w:rsidR="000A43A5" w:rsidRPr="000A43A5" w:rsidRDefault="000A43A5" w:rsidP="000A43A5">
      <w:pPr>
        <w:jc w:val="right"/>
        <w:rPr>
          <w:lang w:bidi="ar-IQ"/>
        </w:rPr>
      </w:pPr>
      <w:r w:rsidRPr="000A43A5">
        <w:rPr>
          <w:rtl/>
        </w:rPr>
        <w:lastRenderedPageBreak/>
        <w:t>كما يمكن للمنهاج الوزاري أن يشمل محورًا حول السياسات الوطنية والدولية لمكافحة التغير المناخي، بما في ذلك الاتفاقيات الدولية مثل اتفاقية باريس، وأهداف التنمية المستدامة للأمم المتحدة. هذا يساعد الطلاب على فهم السياق العالمي والالتزامات الدولية للعراق، ويعزز لديهم الوعي بالدور الذي يمكن أن تلعبه السياسات الحكومية في حماية البيئة وتحقيق التنمية المستدامة. ويشجع هذا أيضًا على المشاركة المدنية والمسؤولية المجتمعية تجاه القضايا البيئية</w:t>
      </w:r>
      <w:r w:rsidRPr="000A43A5">
        <w:rPr>
          <w:lang w:bidi="ar-IQ"/>
        </w:rPr>
        <w:t>.</w:t>
      </w:r>
    </w:p>
    <w:p w14:paraId="0E13A19B" w14:textId="77777777" w:rsidR="000A43A5" w:rsidRPr="000A43A5" w:rsidRDefault="000A43A5" w:rsidP="000A43A5">
      <w:pPr>
        <w:jc w:val="right"/>
        <w:rPr>
          <w:lang w:bidi="ar-IQ"/>
        </w:rPr>
      </w:pPr>
      <w:r w:rsidRPr="000A43A5">
        <w:rPr>
          <w:rtl/>
        </w:rPr>
        <w:t>ومن الجوانب العملية أيضًا تضمين المنهاج وحدات تعليمية حول الإدارة المستدامة للموارد المائية والطاقة والزراعة. فمثلاً، يمكن تعليم الطلاب أساليب ترشيد استهلاك المياه والطاقة، وطرق الزراعة المقاومة للجفاف، وتقنيات إعادة التدوير، والحفاظ على التنوع البيولوجي. كما يمكن دمج النشاطات الكشفية والرحلات الميدانية التي تُظهر التأثيرات المباشرة للتغير المناخي، مثل انخفاض منسوب المياه في الأنهار والبحيرات، وتأثير ذلك على الزراعة والحياة اليومية للسكان</w:t>
      </w:r>
      <w:r w:rsidRPr="000A43A5">
        <w:rPr>
          <w:lang w:bidi="ar-IQ"/>
        </w:rPr>
        <w:t>.</w:t>
      </w:r>
    </w:p>
    <w:p w14:paraId="222B79D9" w14:textId="77777777" w:rsidR="000A43A5" w:rsidRPr="000A43A5" w:rsidRDefault="000A43A5" w:rsidP="000A43A5">
      <w:pPr>
        <w:jc w:val="right"/>
        <w:rPr>
          <w:lang w:bidi="ar-IQ"/>
        </w:rPr>
      </w:pPr>
      <w:r w:rsidRPr="000A43A5">
        <w:rPr>
          <w:rtl/>
        </w:rPr>
        <w:t>ولا يمكن إغفال أهمية تعزيز الشراكات بين الحكومة، والمدارس، والمجتمع المحلي، والمنظمات غير الحكومية، لتفعيل دور التعليم في مواجهة التغير المناخي. فالمشاركة المجتمعية تعزز فرص نجاح المبادرات التعليمية، وتوسع نطاق تأثيرها لتشمل الأسر والمجتمعات المحلية، مما يخلق ثقافة بيئية مستدامة. ويمكن أيضًا دعم الطلاب بمشاريع بحثية تطبيقية، حيث يقومون بدراسة تأثيرات التغير المناخي في مناطقهم، ويقترحون حلولًا مبتكرة للحد من هذه التأثيرات</w:t>
      </w:r>
      <w:r w:rsidRPr="000A43A5">
        <w:rPr>
          <w:lang w:bidi="ar-IQ"/>
        </w:rPr>
        <w:t>.</w:t>
      </w:r>
    </w:p>
    <w:p w14:paraId="78EE38B2" w14:textId="77777777" w:rsidR="000A43A5" w:rsidRPr="000A43A5" w:rsidRDefault="000A43A5" w:rsidP="000A43A5">
      <w:pPr>
        <w:jc w:val="right"/>
        <w:rPr>
          <w:lang w:bidi="ar-IQ"/>
        </w:rPr>
      </w:pPr>
      <w:r w:rsidRPr="000A43A5">
        <w:rPr>
          <w:rtl/>
        </w:rPr>
        <w:t>ويُظهر التاريخ الحديث أن العراق يواجه تحديات كبيرة بسبب التغير المناخي، مثل التغيرات المفاجئة في الطقس، ونقص المياه، وتصحر الأراضي، وارتفاع درجات الحرارة الشديدة. ولذلك، فإن دمج هذه المواضيع ضمن المناهج التعليمية لا يقتصر على الجانب المعرفي فقط، بل يهدف إلى بناء قدرات جيل قادر على مواجهة هذه التحديات بوعي ومسؤولية. ويعزز هذا النهج الاستراتيجي دور الشباب في التنمية المستدامة، ويشجعهم على اتخاذ قرارات مستنيرة تتعلق بالبيئة والحياة اليومية</w:t>
      </w:r>
      <w:r w:rsidRPr="000A43A5">
        <w:rPr>
          <w:lang w:bidi="ar-IQ"/>
        </w:rPr>
        <w:t>.</w:t>
      </w:r>
    </w:p>
    <w:p w14:paraId="12D93055" w14:textId="45AD7E29" w:rsidR="007D22B5" w:rsidRDefault="007D22B5" w:rsidP="00392E13">
      <w:pPr>
        <w:jc w:val="right"/>
        <w:rPr>
          <w:lang w:bidi="ar-IQ"/>
        </w:rPr>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A10"/>
    <w:multiLevelType w:val="multilevel"/>
    <w:tmpl w:val="DFD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28C"/>
    <w:multiLevelType w:val="multilevel"/>
    <w:tmpl w:val="12B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D96"/>
    <w:multiLevelType w:val="multilevel"/>
    <w:tmpl w:val="AF02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E35BD"/>
    <w:multiLevelType w:val="multilevel"/>
    <w:tmpl w:val="8BEA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96E54"/>
    <w:multiLevelType w:val="multilevel"/>
    <w:tmpl w:val="CCC8B4B4"/>
    <w:lvl w:ilvl="0">
      <w:start w:val="1"/>
      <w:numFmt w:val="bullet"/>
      <w:lvlText w:val=""/>
      <w:lvlJc w:val="left"/>
      <w:pPr>
        <w:tabs>
          <w:tab w:val="num" w:pos="3762"/>
        </w:tabs>
        <w:ind w:left="376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D60ED"/>
    <w:multiLevelType w:val="multilevel"/>
    <w:tmpl w:val="66A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C23D8"/>
    <w:multiLevelType w:val="multilevel"/>
    <w:tmpl w:val="C2D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D1037"/>
    <w:multiLevelType w:val="multilevel"/>
    <w:tmpl w:val="62C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24E6F"/>
    <w:multiLevelType w:val="multilevel"/>
    <w:tmpl w:val="9E2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77A14"/>
    <w:multiLevelType w:val="multilevel"/>
    <w:tmpl w:val="3F9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47F99"/>
    <w:multiLevelType w:val="multilevel"/>
    <w:tmpl w:val="C71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C485F"/>
    <w:multiLevelType w:val="multilevel"/>
    <w:tmpl w:val="3F1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22425"/>
    <w:multiLevelType w:val="multilevel"/>
    <w:tmpl w:val="B9CA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51AA0"/>
    <w:multiLevelType w:val="multilevel"/>
    <w:tmpl w:val="2DD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71C22"/>
    <w:multiLevelType w:val="multilevel"/>
    <w:tmpl w:val="D0F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04F7B"/>
    <w:multiLevelType w:val="multilevel"/>
    <w:tmpl w:val="C8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70D9D"/>
    <w:multiLevelType w:val="multilevel"/>
    <w:tmpl w:val="D37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331EF"/>
    <w:multiLevelType w:val="multilevel"/>
    <w:tmpl w:val="A420D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CE6399"/>
    <w:multiLevelType w:val="multilevel"/>
    <w:tmpl w:val="80C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65676"/>
    <w:multiLevelType w:val="multilevel"/>
    <w:tmpl w:val="6ED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83FD7"/>
    <w:multiLevelType w:val="multilevel"/>
    <w:tmpl w:val="B1A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0292D"/>
    <w:multiLevelType w:val="multilevel"/>
    <w:tmpl w:val="964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A37DA"/>
    <w:multiLevelType w:val="multilevel"/>
    <w:tmpl w:val="A40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159C1"/>
    <w:multiLevelType w:val="multilevel"/>
    <w:tmpl w:val="EEAC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276BE"/>
    <w:multiLevelType w:val="multilevel"/>
    <w:tmpl w:val="2C9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11DCB"/>
    <w:multiLevelType w:val="multilevel"/>
    <w:tmpl w:val="649E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334695"/>
    <w:multiLevelType w:val="multilevel"/>
    <w:tmpl w:val="E64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47447"/>
    <w:multiLevelType w:val="multilevel"/>
    <w:tmpl w:val="2E3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C58D5"/>
    <w:multiLevelType w:val="multilevel"/>
    <w:tmpl w:val="752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9218FB"/>
    <w:multiLevelType w:val="multilevel"/>
    <w:tmpl w:val="07B2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A447FC"/>
    <w:multiLevelType w:val="multilevel"/>
    <w:tmpl w:val="A9C2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6354DF"/>
    <w:multiLevelType w:val="multilevel"/>
    <w:tmpl w:val="8D6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E560CA"/>
    <w:multiLevelType w:val="multilevel"/>
    <w:tmpl w:val="D55E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B7DE3"/>
    <w:multiLevelType w:val="multilevel"/>
    <w:tmpl w:val="5F1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D11FD5"/>
    <w:multiLevelType w:val="multilevel"/>
    <w:tmpl w:val="C09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02503D"/>
    <w:multiLevelType w:val="multilevel"/>
    <w:tmpl w:val="171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F356C"/>
    <w:multiLevelType w:val="multilevel"/>
    <w:tmpl w:val="4EE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3772A2"/>
    <w:multiLevelType w:val="multilevel"/>
    <w:tmpl w:val="F48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1511EB"/>
    <w:multiLevelType w:val="multilevel"/>
    <w:tmpl w:val="128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5364C4"/>
    <w:multiLevelType w:val="multilevel"/>
    <w:tmpl w:val="F3C0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19393F"/>
    <w:multiLevelType w:val="multilevel"/>
    <w:tmpl w:val="AF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4F2B83"/>
    <w:multiLevelType w:val="multilevel"/>
    <w:tmpl w:val="D162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5D5616"/>
    <w:multiLevelType w:val="multilevel"/>
    <w:tmpl w:val="9ED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C42810"/>
    <w:multiLevelType w:val="multilevel"/>
    <w:tmpl w:val="2B0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1A27D2"/>
    <w:multiLevelType w:val="multilevel"/>
    <w:tmpl w:val="A2A6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C12E42"/>
    <w:multiLevelType w:val="multilevel"/>
    <w:tmpl w:val="A13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6E622F"/>
    <w:multiLevelType w:val="multilevel"/>
    <w:tmpl w:val="FF4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FA235A"/>
    <w:multiLevelType w:val="multilevel"/>
    <w:tmpl w:val="FC1A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1D6276"/>
    <w:multiLevelType w:val="multilevel"/>
    <w:tmpl w:val="3D6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4E2D04"/>
    <w:multiLevelType w:val="multilevel"/>
    <w:tmpl w:val="51A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5D14C1"/>
    <w:multiLevelType w:val="multilevel"/>
    <w:tmpl w:val="E7C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AC5D27"/>
    <w:multiLevelType w:val="multilevel"/>
    <w:tmpl w:val="D2C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C01D01"/>
    <w:multiLevelType w:val="multilevel"/>
    <w:tmpl w:val="BFD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6B3127"/>
    <w:multiLevelType w:val="multilevel"/>
    <w:tmpl w:val="BC6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B64A78"/>
    <w:multiLevelType w:val="multilevel"/>
    <w:tmpl w:val="697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F3A09"/>
    <w:multiLevelType w:val="multilevel"/>
    <w:tmpl w:val="3C8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B638E9"/>
    <w:multiLevelType w:val="multilevel"/>
    <w:tmpl w:val="E35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9615F8"/>
    <w:multiLevelType w:val="multilevel"/>
    <w:tmpl w:val="E056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AC3B42"/>
    <w:multiLevelType w:val="multilevel"/>
    <w:tmpl w:val="1DF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8557">
    <w:abstractNumId w:val="43"/>
  </w:num>
  <w:num w:numId="2" w16cid:durableId="924801828">
    <w:abstractNumId w:val="49"/>
  </w:num>
  <w:num w:numId="3" w16cid:durableId="633221390">
    <w:abstractNumId w:val="32"/>
  </w:num>
  <w:num w:numId="4" w16cid:durableId="460342806">
    <w:abstractNumId w:val="13"/>
  </w:num>
  <w:num w:numId="5" w16cid:durableId="1069885967">
    <w:abstractNumId w:val="1"/>
  </w:num>
  <w:num w:numId="6" w16cid:durableId="448941043">
    <w:abstractNumId w:val="24"/>
  </w:num>
  <w:num w:numId="7" w16cid:durableId="1465385663">
    <w:abstractNumId w:val="58"/>
  </w:num>
  <w:num w:numId="8" w16cid:durableId="1340739916">
    <w:abstractNumId w:val="45"/>
  </w:num>
  <w:num w:numId="9" w16cid:durableId="1743915054">
    <w:abstractNumId w:val="34"/>
  </w:num>
  <w:num w:numId="10" w16cid:durableId="1875271643">
    <w:abstractNumId w:val="55"/>
  </w:num>
  <w:num w:numId="11" w16cid:durableId="423262631">
    <w:abstractNumId w:val="7"/>
  </w:num>
  <w:num w:numId="12" w16cid:durableId="1689941107">
    <w:abstractNumId w:val="38"/>
  </w:num>
  <w:num w:numId="13" w16cid:durableId="32190623">
    <w:abstractNumId w:val="15"/>
  </w:num>
  <w:num w:numId="14" w16cid:durableId="1547598974">
    <w:abstractNumId w:val="10"/>
  </w:num>
  <w:num w:numId="15" w16cid:durableId="402408597">
    <w:abstractNumId w:val="31"/>
  </w:num>
  <w:num w:numId="16" w16cid:durableId="482936439">
    <w:abstractNumId w:val="39"/>
  </w:num>
  <w:num w:numId="17" w16cid:durableId="689181677">
    <w:abstractNumId w:val="23"/>
  </w:num>
  <w:num w:numId="18" w16cid:durableId="811795352">
    <w:abstractNumId w:val="17"/>
  </w:num>
  <w:num w:numId="19" w16cid:durableId="1955550983">
    <w:abstractNumId w:val="2"/>
  </w:num>
  <w:num w:numId="20" w16cid:durableId="374045849">
    <w:abstractNumId w:val="28"/>
  </w:num>
  <w:num w:numId="21" w16cid:durableId="828133172">
    <w:abstractNumId w:val="29"/>
  </w:num>
  <w:num w:numId="22" w16cid:durableId="201987269">
    <w:abstractNumId w:val="41"/>
  </w:num>
  <w:num w:numId="23" w16cid:durableId="796988493">
    <w:abstractNumId w:val="60"/>
  </w:num>
  <w:num w:numId="24" w16cid:durableId="228614883">
    <w:abstractNumId w:val="61"/>
  </w:num>
  <w:num w:numId="25" w16cid:durableId="133722656">
    <w:abstractNumId w:val="59"/>
  </w:num>
  <w:num w:numId="26" w16cid:durableId="156193861">
    <w:abstractNumId w:val="0"/>
  </w:num>
  <w:num w:numId="27" w16cid:durableId="523904053">
    <w:abstractNumId w:val="12"/>
  </w:num>
  <w:num w:numId="28" w16cid:durableId="1831555247">
    <w:abstractNumId w:val="26"/>
  </w:num>
  <w:num w:numId="29" w16cid:durableId="945842589">
    <w:abstractNumId w:val="65"/>
  </w:num>
  <w:num w:numId="30" w16cid:durableId="1620726197">
    <w:abstractNumId w:val="52"/>
  </w:num>
  <w:num w:numId="31" w16cid:durableId="1243446553">
    <w:abstractNumId w:val="37"/>
  </w:num>
  <w:num w:numId="32" w16cid:durableId="1860503082">
    <w:abstractNumId w:val="54"/>
  </w:num>
  <w:num w:numId="33" w16cid:durableId="1413045764">
    <w:abstractNumId w:val="18"/>
  </w:num>
  <w:num w:numId="34" w16cid:durableId="197401308">
    <w:abstractNumId w:val="62"/>
  </w:num>
  <w:num w:numId="35" w16cid:durableId="1022515576">
    <w:abstractNumId w:val="22"/>
  </w:num>
  <w:num w:numId="36" w16cid:durableId="1529678481">
    <w:abstractNumId w:val="16"/>
  </w:num>
  <w:num w:numId="37" w16cid:durableId="480581539">
    <w:abstractNumId w:val="64"/>
  </w:num>
  <w:num w:numId="38" w16cid:durableId="955451939">
    <w:abstractNumId w:val="6"/>
  </w:num>
  <w:num w:numId="39" w16cid:durableId="166025155">
    <w:abstractNumId w:val="5"/>
  </w:num>
  <w:num w:numId="40" w16cid:durableId="1981767191">
    <w:abstractNumId w:val="21"/>
  </w:num>
  <w:num w:numId="41" w16cid:durableId="635961726">
    <w:abstractNumId w:val="50"/>
  </w:num>
  <w:num w:numId="42" w16cid:durableId="695927957">
    <w:abstractNumId w:val="63"/>
  </w:num>
  <w:num w:numId="43" w16cid:durableId="1203397483">
    <w:abstractNumId w:val="57"/>
  </w:num>
  <w:num w:numId="44" w16cid:durableId="1730225699">
    <w:abstractNumId w:val="48"/>
  </w:num>
  <w:num w:numId="45" w16cid:durableId="1213425645">
    <w:abstractNumId w:val="40"/>
  </w:num>
  <w:num w:numId="46" w16cid:durableId="625427020">
    <w:abstractNumId w:val="36"/>
  </w:num>
  <w:num w:numId="47" w16cid:durableId="2120176104">
    <w:abstractNumId w:val="9"/>
  </w:num>
  <w:num w:numId="48" w16cid:durableId="588083074">
    <w:abstractNumId w:val="3"/>
  </w:num>
  <w:num w:numId="49" w16cid:durableId="405997743">
    <w:abstractNumId w:val="33"/>
  </w:num>
  <w:num w:numId="50" w16cid:durableId="1535465076">
    <w:abstractNumId w:val="42"/>
  </w:num>
  <w:num w:numId="51" w16cid:durableId="1808356371">
    <w:abstractNumId w:val="47"/>
  </w:num>
  <w:num w:numId="52" w16cid:durableId="1021514148">
    <w:abstractNumId w:val="30"/>
  </w:num>
  <w:num w:numId="53" w16cid:durableId="1076391513">
    <w:abstractNumId w:val="4"/>
  </w:num>
  <w:num w:numId="54" w16cid:durableId="406802365">
    <w:abstractNumId w:val="20"/>
  </w:num>
  <w:num w:numId="55" w16cid:durableId="2099524513">
    <w:abstractNumId w:val="35"/>
  </w:num>
  <w:num w:numId="56" w16cid:durableId="1918440252">
    <w:abstractNumId w:val="53"/>
  </w:num>
  <w:num w:numId="57" w16cid:durableId="1842234238">
    <w:abstractNumId w:val="56"/>
  </w:num>
  <w:num w:numId="58" w16cid:durableId="1002782259">
    <w:abstractNumId w:val="19"/>
  </w:num>
  <w:num w:numId="59" w16cid:durableId="1109547532">
    <w:abstractNumId w:val="51"/>
  </w:num>
  <w:num w:numId="60" w16cid:durableId="1184897671">
    <w:abstractNumId w:val="25"/>
  </w:num>
  <w:num w:numId="61" w16cid:durableId="1625380296">
    <w:abstractNumId w:val="8"/>
  </w:num>
  <w:num w:numId="62" w16cid:durableId="308438911">
    <w:abstractNumId w:val="14"/>
  </w:num>
  <w:num w:numId="63" w16cid:durableId="987586012">
    <w:abstractNumId w:val="27"/>
  </w:num>
  <w:num w:numId="64" w16cid:durableId="1407652640">
    <w:abstractNumId w:val="11"/>
  </w:num>
  <w:num w:numId="65" w16cid:durableId="671952507">
    <w:abstractNumId w:val="46"/>
  </w:num>
  <w:num w:numId="66" w16cid:durableId="19241031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0456B7"/>
    <w:rsid w:val="000A43A5"/>
    <w:rsid w:val="000D1884"/>
    <w:rsid w:val="001F302A"/>
    <w:rsid w:val="00234559"/>
    <w:rsid w:val="00347300"/>
    <w:rsid w:val="00392E13"/>
    <w:rsid w:val="00496CC2"/>
    <w:rsid w:val="005270BF"/>
    <w:rsid w:val="005A4843"/>
    <w:rsid w:val="00641C2E"/>
    <w:rsid w:val="00696E83"/>
    <w:rsid w:val="007D22B5"/>
    <w:rsid w:val="007D25F9"/>
    <w:rsid w:val="009204D4"/>
    <w:rsid w:val="00946E29"/>
    <w:rsid w:val="00A55694"/>
    <w:rsid w:val="00A64A6D"/>
    <w:rsid w:val="00AF658C"/>
    <w:rsid w:val="00B82CDC"/>
    <w:rsid w:val="00CA5D97"/>
    <w:rsid w:val="00CB3445"/>
    <w:rsid w:val="00D2396A"/>
    <w:rsid w:val="00D24619"/>
    <w:rsid w:val="00F0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070"/>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 w:type="paragraph" w:styleId="aa">
    <w:name w:val="Normal (Web)"/>
    <w:basedOn w:val="a"/>
    <w:uiPriority w:val="99"/>
    <w:semiHidden/>
    <w:unhideWhenUsed/>
    <w:rsid w:val="00696E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2025-12-28T20:58:00Z</dcterms:created>
  <dcterms:modified xsi:type="dcterms:W3CDTF">2025-12-28T20:58:00Z</dcterms:modified>
</cp:coreProperties>
</file>