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83786C"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1A2A08" w:rsidRPr="00F4768D" w:rsidTr="00A26C9F">
        <w:trPr>
          <w:cantSplit/>
          <w:trHeight w:val="2521"/>
        </w:trPr>
        <w:tc>
          <w:tcPr>
            <w:tcW w:w="645" w:type="dxa"/>
            <w:shd w:val="clear" w:color="auto" w:fill="EAF1DD" w:themeFill="accent3" w:themeFillTint="33"/>
            <w:vAlign w:val="center"/>
          </w:tcPr>
          <w:p w:rsidR="001A2A08" w:rsidRPr="00465E52" w:rsidRDefault="001A2A08"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lastRenderedPageBreak/>
              <w:t>1</w:t>
            </w:r>
          </w:p>
        </w:tc>
        <w:tc>
          <w:tcPr>
            <w:tcW w:w="1854" w:type="dxa"/>
            <w:shd w:val="clear" w:color="auto" w:fill="F2F2F2" w:themeFill="background1" w:themeFillShade="F2"/>
            <w:vAlign w:val="center"/>
          </w:tcPr>
          <w:p w:rsidR="001A2A08" w:rsidRPr="00D82E91" w:rsidRDefault="001A2A08" w:rsidP="00693E1A">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نقاشية/تفكيك القيادة الجماعية للصين وتأثيرها في عملية صنع القرار</w:t>
            </w:r>
          </w:p>
        </w:tc>
        <w:tc>
          <w:tcPr>
            <w:tcW w:w="1283" w:type="dxa"/>
            <w:vAlign w:val="center"/>
          </w:tcPr>
          <w:p w:rsidR="001A2A08" w:rsidRPr="00BD22EC" w:rsidRDefault="001A2A08"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29/10/2024</w:t>
            </w:r>
          </w:p>
        </w:tc>
        <w:tc>
          <w:tcPr>
            <w:tcW w:w="998" w:type="dxa"/>
            <w:vAlign w:val="center"/>
          </w:tcPr>
          <w:p w:rsidR="001A2A08" w:rsidRPr="00BD22EC" w:rsidRDefault="001A2A08"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1A2A08" w:rsidRPr="00BD22EC" w:rsidRDefault="001A2A08"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 xml:space="preserve">اجتماعي </w:t>
            </w:r>
          </w:p>
        </w:tc>
        <w:tc>
          <w:tcPr>
            <w:tcW w:w="2993" w:type="dxa"/>
            <w:vAlign w:val="center"/>
          </w:tcPr>
          <w:p w:rsidR="001A2A08" w:rsidRPr="00BD22EC" w:rsidRDefault="001A2A08" w:rsidP="00693E1A">
            <w:pPr>
              <w:jc w:val="both"/>
              <w:rPr>
                <w:rFonts w:ascii="Simplified Arabic" w:hAnsi="Simplified Arabic" w:cs="Simplified Arabic"/>
                <w:b/>
                <w:bCs/>
                <w:rtl/>
                <w:lang w:bidi="ar-IQ"/>
              </w:rPr>
            </w:pPr>
            <w:r w:rsidRPr="001A2A08">
              <w:rPr>
                <w:rFonts w:ascii="Simplified Arabic" w:hAnsi="Simplified Arabic" w:cs="Simplified Arabic"/>
                <w:b/>
                <w:bCs/>
                <w:sz w:val="20"/>
                <w:szCs w:val="20"/>
                <w:rtl/>
                <w:lang w:bidi="ar-IQ"/>
              </w:rPr>
              <w:t>هناك رسائل مهمة تمخضت عن نتائج المؤتمر العشرين للحزب الشيوعى الصيني المنعقد في العام ٢٠٢٢، ولعل اهمها ترسيخ مكانة الرئيس (شي جين بينغ) كامين عام للحزب وكذلك رئيس اللجنة العسكرية المركزية للحزب وهذا يمهد لانتخابه رئيسا لدورة ثالثه، فضلا عن حرص الحزب لضخ دماء جديدة اليه في الهيكل القيادي من اجل التجديد والتطوير.</w:t>
            </w:r>
          </w:p>
        </w:tc>
        <w:tc>
          <w:tcPr>
            <w:tcW w:w="1283" w:type="dxa"/>
            <w:vAlign w:val="center"/>
          </w:tcPr>
          <w:p w:rsidR="001A2A08" w:rsidRPr="00BD22EC" w:rsidRDefault="001A2A08" w:rsidP="00693E1A">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tcPr>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1A2A08">
            <w:pP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rPr>
                <w:rFonts w:ascii="Simplified Arabic" w:hAnsi="Simplified Arabic" w:cs="Simplified Arabic"/>
                <w:b/>
                <w:bCs/>
                <w:lang w:bidi="ar-IQ"/>
              </w:rPr>
            </w:pPr>
            <w:r w:rsidRPr="00BD22EC">
              <w:rPr>
                <w:rFonts w:ascii="Simplified Arabic" w:hAnsi="Simplified Arabic" w:cs="Simplified Arabic"/>
                <w:b/>
                <w:bCs/>
                <w:rtl/>
                <w:lang w:bidi="ar-IQ"/>
              </w:rPr>
              <w:t>قسم الدراسات الاستراتيجية</w:t>
            </w:r>
          </w:p>
        </w:tc>
        <w:tc>
          <w:tcPr>
            <w:tcW w:w="1283" w:type="dxa"/>
          </w:tcPr>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p>
          <w:p w:rsidR="001A2A08" w:rsidRPr="00BD22EC" w:rsidRDefault="001A2A08"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1A2A08" w:rsidRPr="00BD22EC" w:rsidRDefault="001A2A08" w:rsidP="00693E1A">
            <w:pPr>
              <w:tabs>
                <w:tab w:val="left" w:pos="3198"/>
              </w:tabs>
              <w:rPr>
                <w:rFonts w:ascii="Simplified Arabic" w:hAnsi="Simplified Arabic" w:cs="Simplified Arabic"/>
                <w:b/>
                <w:bCs/>
                <w:rtl/>
              </w:rPr>
            </w:pPr>
          </w:p>
          <w:p w:rsidR="001A2A08" w:rsidRPr="00BD22EC" w:rsidRDefault="001A2A08" w:rsidP="00693E1A">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1A2A08" w:rsidRPr="00BD22EC" w:rsidRDefault="001A2A08" w:rsidP="00693E1A">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pPr>
        <w:rPr>
          <w:rFonts w:hint="cs"/>
        </w:rPr>
      </w:pPr>
    </w:p>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0E" w:rsidRDefault="0061660E" w:rsidP="002943EA">
      <w:pPr>
        <w:spacing w:after="0" w:line="240" w:lineRule="auto"/>
      </w:pPr>
      <w:r>
        <w:separator/>
      </w:r>
    </w:p>
  </w:endnote>
  <w:endnote w:type="continuationSeparator" w:id="1">
    <w:p w:rsidR="0061660E" w:rsidRDefault="0061660E"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0E" w:rsidRDefault="0061660E" w:rsidP="002943EA">
      <w:pPr>
        <w:spacing w:after="0" w:line="240" w:lineRule="auto"/>
      </w:pPr>
      <w:r>
        <w:separator/>
      </w:r>
    </w:p>
  </w:footnote>
  <w:footnote w:type="continuationSeparator" w:id="1">
    <w:p w:rsidR="0061660E" w:rsidRDefault="0061660E"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A2A08"/>
    <w:rsid w:val="001D0175"/>
    <w:rsid w:val="00204B3D"/>
    <w:rsid w:val="00266AE6"/>
    <w:rsid w:val="002943EA"/>
    <w:rsid w:val="0039024E"/>
    <w:rsid w:val="00450757"/>
    <w:rsid w:val="00474CD7"/>
    <w:rsid w:val="00486476"/>
    <w:rsid w:val="00506C2C"/>
    <w:rsid w:val="00526F72"/>
    <w:rsid w:val="00536A4C"/>
    <w:rsid w:val="0055406F"/>
    <w:rsid w:val="005848C0"/>
    <w:rsid w:val="005C4237"/>
    <w:rsid w:val="005C6B30"/>
    <w:rsid w:val="005E035C"/>
    <w:rsid w:val="0061660E"/>
    <w:rsid w:val="00635D62"/>
    <w:rsid w:val="006461B2"/>
    <w:rsid w:val="00653636"/>
    <w:rsid w:val="006E0EF8"/>
    <w:rsid w:val="007237B7"/>
    <w:rsid w:val="0083786C"/>
    <w:rsid w:val="008839F3"/>
    <w:rsid w:val="008D0E2F"/>
    <w:rsid w:val="008E1478"/>
    <w:rsid w:val="00903065"/>
    <w:rsid w:val="009C0830"/>
    <w:rsid w:val="009F130C"/>
    <w:rsid w:val="00AD24F3"/>
    <w:rsid w:val="00B56C62"/>
    <w:rsid w:val="00BD0BB0"/>
    <w:rsid w:val="00BD6AB0"/>
    <w:rsid w:val="00C27551"/>
    <w:rsid w:val="00C67590"/>
    <w:rsid w:val="00D90658"/>
    <w:rsid w:val="00DA644F"/>
    <w:rsid w:val="00DD7BE6"/>
    <w:rsid w:val="00DE7C5F"/>
    <w:rsid w:val="00E65683"/>
    <w:rsid w:val="00E67AC6"/>
    <w:rsid w:val="00EB5F1E"/>
    <w:rsid w:val="00EE0AB7"/>
    <w:rsid w:val="00F20B32"/>
    <w:rsid w:val="00F22617"/>
    <w:rsid w:val="00F35179"/>
    <w:rsid w:val="00F66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2024-06-05T07:33:00Z</dcterms:created>
  <dcterms:modified xsi:type="dcterms:W3CDTF">2024-06-05T07:33:00Z</dcterms:modified>
</cp:coreProperties>
</file>