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503C72"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367FF2" w:rsidRPr="00F4768D" w:rsidTr="005110E1">
        <w:trPr>
          <w:cantSplit/>
          <w:trHeight w:val="2521"/>
        </w:trPr>
        <w:tc>
          <w:tcPr>
            <w:tcW w:w="645" w:type="dxa"/>
            <w:shd w:val="clear" w:color="auto" w:fill="EAF1DD" w:themeFill="accent3" w:themeFillTint="33"/>
            <w:vAlign w:val="center"/>
          </w:tcPr>
          <w:p w:rsidR="00367FF2" w:rsidRPr="00465E52" w:rsidRDefault="00367FF2"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tcPr>
          <w:p w:rsidR="00367FF2" w:rsidRPr="00D82E91" w:rsidRDefault="00367FF2" w:rsidP="001E1B34">
            <w:pPr>
              <w:rPr>
                <w:rFonts w:ascii="Simplified Arabic" w:hAnsi="Simplified Arabic" w:cs="Simplified Arabic"/>
                <w:b/>
                <w:bCs/>
                <w:rtl/>
                <w:lang w:bidi="ar-IQ"/>
              </w:rPr>
            </w:pPr>
          </w:p>
          <w:p w:rsidR="00367FF2" w:rsidRPr="00D82E91" w:rsidRDefault="00367FF2" w:rsidP="001E1B34">
            <w:pPr>
              <w:rPr>
                <w:rFonts w:ascii="Simplified Arabic" w:hAnsi="Simplified Arabic" w:cs="Simplified Arabic"/>
                <w:b/>
                <w:bCs/>
              </w:rPr>
            </w:pPr>
            <w:r w:rsidRPr="00D82E91">
              <w:rPr>
                <w:rFonts w:ascii="Simplified Arabic" w:hAnsi="Simplified Arabic" w:cs="Simplified Arabic"/>
                <w:b/>
                <w:bCs/>
                <w:rtl/>
                <w:lang w:bidi="ar-IQ"/>
              </w:rPr>
              <w:t>ورشة عمل/ الجرائم الالكترونية في العراق : الاسباب والمعالجات</w:t>
            </w:r>
          </w:p>
        </w:tc>
        <w:tc>
          <w:tcPr>
            <w:tcW w:w="1283" w:type="dxa"/>
            <w:vAlign w:val="center"/>
          </w:tcPr>
          <w:p w:rsidR="00367FF2" w:rsidRPr="00BD22EC" w:rsidRDefault="00367FF2"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17/9/2024</w:t>
            </w:r>
          </w:p>
        </w:tc>
        <w:tc>
          <w:tcPr>
            <w:tcW w:w="998" w:type="dxa"/>
            <w:vAlign w:val="center"/>
          </w:tcPr>
          <w:p w:rsidR="00367FF2" w:rsidRPr="00BD22EC" w:rsidRDefault="00367FF2"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367FF2" w:rsidRPr="00BD22EC" w:rsidRDefault="00367FF2"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tcPr>
          <w:p w:rsidR="00367FF2" w:rsidRPr="00BD22EC" w:rsidRDefault="00367FF2" w:rsidP="001E1B34">
            <w:pPr>
              <w:jc w:val="both"/>
              <w:rPr>
                <w:rFonts w:ascii="Simplified Arabic" w:hAnsi="Simplified Arabic" w:cs="Simplified Arabic"/>
                <w:b/>
                <w:bCs/>
                <w:rtl/>
              </w:rPr>
            </w:pPr>
            <w:r w:rsidRPr="00BD22EC">
              <w:rPr>
                <w:rFonts w:ascii="Simplified Arabic" w:hAnsi="Simplified Arabic" w:cs="Simplified Arabic"/>
                <w:b/>
                <w:bCs/>
                <w:rtl/>
                <w:lang w:bidi="ar-IQ"/>
              </w:rPr>
              <w:t>بسبب انتشار ظاهرة ازدياد اعداد المستخدمين لوسائل التواصل الاجتماعي وانعدام الرقابة المجتمعية والحكومية ازدادت ظاهرة ارتكاب الجرائم الالكترونية تسعى الورشة الى تسليط الضوء على اهم الاسباب الرئيسة التي ادت الى ازدياد الظاهرة وسبل معالجتها والحد من خطورتها.</w:t>
            </w:r>
          </w:p>
        </w:tc>
        <w:tc>
          <w:tcPr>
            <w:tcW w:w="1283" w:type="dxa"/>
            <w:vAlign w:val="center"/>
          </w:tcPr>
          <w:p w:rsidR="00367FF2" w:rsidRPr="00BD22EC" w:rsidRDefault="00367FF2" w:rsidP="001E1B34">
            <w:pPr>
              <w:tabs>
                <w:tab w:val="left" w:pos="-3261"/>
              </w:tabs>
              <w:jc w:val="center"/>
              <w:rPr>
                <w:rFonts w:ascii="Simplified Arabic" w:hAnsi="Simplified Arabic" w:cs="Simplified Arabic"/>
                <w:b/>
                <w:bCs/>
                <w:lang w:val="ru-RU" w:bidi="ar-IQ"/>
              </w:rPr>
            </w:pPr>
            <w:r w:rsidRPr="00BD22EC">
              <w:rPr>
                <w:rFonts w:ascii="Simplified Arabic" w:hAnsi="Simplified Arabic" w:cs="Simplified Arabic"/>
                <w:b/>
                <w:bCs/>
                <w:rtl/>
                <w:lang w:val="ru-RU" w:bidi="ar-IQ"/>
              </w:rPr>
              <w:t xml:space="preserve">مركز الدراسات </w:t>
            </w:r>
            <w:r w:rsidRPr="00BD22EC">
              <w:rPr>
                <w:rFonts w:ascii="Simplified Arabic" w:hAnsi="Simplified Arabic" w:cs="Simplified Arabic"/>
                <w:b/>
                <w:bCs/>
                <w:spacing w:val="-6"/>
                <w:rtl/>
                <w:lang w:val="ru-RU" w:bidi="ar-IQ"/>
              </w:rPr>
              <w:t>الإستراتيجية والدولية</w:t>
            </w:r>
          </w:p>
        </w:tc>
        <w:tc>
          <w:tcPr>
            <w:tcW w:w="1141" w:type="dxa"/>
            <w:vAlign w:val="center"/>
          </w:tcPr>
          <w:p w:rsidR="00367FF2" w:rsidRPr="00BD22EC" w:rsidRDefault="00367FF2"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قسم</w:t>
            </w:r>
          </w:p>
          <w:p w:rsidR="00367FF2" w:rsidRPr="00BD22EC" w:rsidRDefault="00367FF2"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الدراسات</w:t>
            </w:r>
          </w:p>
          <w:p w:rsidR="00367FF2" w:rsidRPr="00BD22EC" w:rsidRDefault="00367FF2" w:rsidP="001E1B34">
            <w:pPr>
              <w:jc w:val="center"/>
              <w:rPr>
                <w:rFonts w:ascii="Simplified Arabic" w:hAnsi="Simplified Arabic" w:cs="Simplified Arabic"/>
                <w:b/>
                <w:bCs/>
              </w:rPr>
            </w:pPr>
            <w:r w:rsidRPr="00BD22EC">
              <w:rPr>
                <w:rFonts w:ascii="Simplified Arabic" w:hAnsi="Simplified Arabic" w:cs="Simplified Arabic"/>
                <w:b/>
                <w:bCs/>
                <w:rtl/>
                <w:lang w:bidi="ar-IQ"/>
              </w:rPr>
              <w:t>الاستراتيجية</w:t>
            </w:r>
          </w:p>
        </w:tc>
        <w:tc>
          <w:tcPr>
            <w:tcW w:w="1283" w:type="dxa"/>
            <w:vAlign w:val="center"/>
          </w:tcPr>
          <w:p w:rsidR="00367FF2" w:rsidRPr="00BD22EC" w:rsidRDefault="00367FF2"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367FF2" w:rsidRPr="00BD22EC" w:rsidRDefault="00367FF2" w:rsidP="001E1B34">
            <w:pPr>
              <w:tabs>
                <w:tab w:val="left" w:pos="3198"/>
              </w:tabs>
              <w:rPr>
                <w:rFonts w:ascii="Simplified Arabic" w:hAnsi="Simplified Arabic" w:cs="Simplified Arabic"/>
                <w:b/>
                <w:bCs/>
                <w:rtl/>
              </w:rPr>
            </w:pPr>
          </w:p>
          <w:p w:rsidR="00367FF2" w:rsidRPr="00BD22EC" w:rsidRDefault="00367FF2" w:rsidP="001E1B34">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367FF2" w:rsidRPr="00BD22EC" w:rsidRDefault="00367FF2" w:rsidP="001E1B34">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11" w:rsidRDefault="00165911" w:rsidP="002943EA">
      <w:pPr>
        <w:spacing w:after="0" w:line="240" w:lineRule="auto"/>
      </w:pPr>
      <w:r>
        <w:separator/>
      </w:r>
    </w:p>
  </w:endnote>
  <w:endnote w:type="continuationSeparator" w:id="1">
    <w:p w:rsidR="00165911" w:rsidRDefault="00165911"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11" w:rsidRDefault="00165911" w:rsidP="002943EA">
      <w:pPr>
        <w:spacing w:after="0" w:line="240" w:lineRule="auto"/>
      </w:pPr>
      <w:r>
        <w:separator/>
      </w:r>
    </w:p>
  </w:footnote>
  <w:footnote w:type="continuationSeparator" w:id="1">
    <w:p w:rsidR="00165911" w:rsidRDefault="00165911"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0F2C27"/>
    <w:rsid w:val="00103A83"/>
    <w:rsid w:val="00165911"/>
    <w:rsid w:val="001D0175"/>
    <w:rsid w:val="00204B3D"/>
    <w:rsid w:val="002943EA"/>
    <w:rsid w:val="00367FF2"/>
    <w:rsid w:val="0039024E"/>
    <w:rsid w:val="00450757"/>
    <w:rsid w:val="00474CD7"/>
    <w:rsid w:val="00486476"/>
    <w:rsid w:val="00503C72"/>
    <w:rsid w:val="00506C2C"/>
    <w:rsid w:val="00526F72"/>
    <w:rsid w:val="00536A4C"/>
    <w:rsid w:val="0055406F"/>
    <w:rsid w:val="005848C0"/>
    <w:rsid w:val="005C4237"/>
    <w:rsid w:val="005C6B30"/>
    <w:rsid w:val="00635D62"/>
    <w:rsid w:val="006461B2"/>
    <w:rsid w:val="006E0EF8"/>
    <w:rsid w:val="008D0E2F"/>
    <w:rsid w:val="008E1478"/>
    <w:rsid w:val="00903065"/>
    <w:rsid w:val="009C0830"/>
    <w:rsid w:val="009F130C"/>
    <w:rsid w:val="00AD24F3"/>
    <w:rsid w:val="00B56C62"/>
    <w:rsid w:val="00C27551"/>
    <w:rsid w:val="00C67590"/>
    <w:rsid w:val="00D90658"/>
    <w:rsid w:val="00DA644F"/>
    <w:rsid w:val="00DD7BE6"/>
    <w:rsid w:val="00DE7C5F"/>
    <w:rsid w:val="00E65683"/>
    <w:rsid w:val="00E67AC6"/>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2024-05-23T07:32:00Z</dcterms:created>
  <dcterms:modified xsi:type="dcterms:W3CDTF">2024-05-23T07:32:00Z</dcterms:modified>
</cp:coreProperties>
</file>