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بغداد</w:t>
      </w:r>
    </w:p>
    <w:p w:rsidR="00000000" w:rsidDel="00000000" w:rsidP="00000000" w:rsidRDefault="00000000" w:rsidRPr="00000000" w14:paraId="00000002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البدنية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الرياضة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للبنات</w:t>
      </w:r>
    </w:p>
    <w:p w:rsidR="00000000" w:rsidDel="00000000" w:rsidP="00000000" w:rsidRDefault="00000000" w:rsidRPr="00000000" w14:paraId="0000000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ورشة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عمل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بعنوان</w:t>
      </w:r>
    </w:p>
    <w:p w:rsidR="00000000" w:rsidDel="00000000" w:rsidP="00000000" w:rsidRDefault="00000000" w:rsidRPr="00000000" w14:paraId="00000009">
      <w:pPr>
        <w:bidi w:val="1"/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before="240" w:lineRule="auto"/>
        <w:jc w:val="center"/>
        <w:rPr>
          <w:rFonts w:ascii="Andalus" w:cs="Andalus" w:eastAsia="Andalus" w:hAnsi="Andalus"/>
          <w:b w:val="1"/>
          <w:color w:val="c00000"/>
          <w:sz w:val="56"/>
          <w:szCs w:val="56"/>
        </w:rPr>
      </w:pP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النـشــاط</w:t>
      </w: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البــــدني</w:t>
      </w: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وســـــــــــــكر</w:t>
      </w: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الـــدم</w:t>
      </w: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0" w:before="240" w:lineRule="auto"/>
        <w:jc w:val="center"/>
        <w:rPr>
          <w:rFonts w:ascii="Andalus" w:cs="Andalus" w:eastAsia="Andalus" w:hAnsi="Andalus"/>
          <w:b w:val="1"/>
          <w:color w:val="c00000"/>
          <w:sz w:val="56"/>
          <w:szCs w:val="56"/>
        </w:rPr>
      </w:pP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للنــوع</w:t>
      </w: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color w:val="c00000"/>
          <w:sz w:val="56"/>
          <w:szCs w:val="56"/>
          <w:rtl w:val="1"/>
        </w:rPr>
        <w:t xml:space="preserve">الثانــــــــــي</w:t>
      </w:r>
    </w:p>
    <w:p w:rsidR="00000000" w:rsidDel="00000000" w:rsidP="00000000" w:rsidRDefault="00000000" w:rsidRPr="00000000" w14:paraId="0000000D">
      <w:pPr>
        <w:bidi w:val="1"/>
        <w:spacing w:after="0" w:before="240" w:lineRule="auto"/>
        <w:jc w:val="center"/>
        <w:rPr>
          <w:rFonts w:ascii="Andalus" w:cs="Andalus" w:eastAsia="Andalus" w:hAnsi="Andalus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before="240" w:lineRule="auto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قام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بأعدادها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40"/>
          <w:szCs w:val="40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أ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د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سهاد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حسيب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عبد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الحميد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40"/>
          <w:szCs w:val="40"/>
        </w:rPr>
      </w:pP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معاون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عميد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للشؤون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العلمية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والدراسات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40"/>
          <w:szCs w:val="40"/>
          <w:rtl w:val="1"/>
        </w:rPr>
        <w:t xml:space="preserve">العليا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center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2024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                                                                                                                       1445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1"/>
        </w:rPr>
        <w:t xml:space="preserve">هـ</w:t>
      </w:r>
    </w:p>
    <w:p w:rsidR="00000000" w:rsidDel="00000000" w:rsidP="00000000" w:rsidRDefault="00000000" w:rsidRPr="00000000" w14:paraId="00000014">
      <w:pPr>
        <w:bidi w:val="1"/>
        <w:spacing w:after="0" w:before="240" w:lineRule="auto"/>
        <w:jc w:val="center"/>
        <w:rPr>
          <w:rFonts w:ascii="Andalus" w:cs="Andalus" w:eastAsia="Andalus" w:hAnsi="Andalus"/>
          <w:b w:val="1"/>
          <w:color w:val="cc3399"/>
          <w:sz w:val="56"/>
          <w:szCs w:val="56"/>
        </w:rPr>
      </w:pPr>
      <w:r w:rsidDel="00000000" w:rsidR="00000000" w:rsidRPr="00000000">
        <w:rPr>
          <w:rFonts w:ascii="Andalus" w:cs="Andalus" w:eastAsia="Andalus" w:hAnsi="Andalus"/>
          <w:b w:val="1"/>
          <w:color w:val="cc3399"/>
          <w:sz w:val="56"/>
          <w:szCs w:val="56"/>
          <w:rtl w:val="1"/>
        </w:rPr>
        <w:t xml:space="preserve">داء</w:t>
      </w:r>
      <w:r w:rsidDel="00000000" w:rsidR="00000000" w:rsidRPr="00000000">
        <w:rPr>
          <w:rFonts w:ascii="Andalus" w:cs="Andalus" w:eastAsia="Andalus" w:hAnsi="Andalus"/>
          <w:b w:val="1"/>
          <w:color w:val="cc3399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color w:val="cc3399"/>
          <w:sz w:val="56"/>
          <w:szCs w:val="56"/>
          <w:rtl w:val="1"/>
        </w:rPr>
        <w:t xml:space="preserve">السكر</w:t>
      </w:r>
    </w:p>
    <w:p w:rsidR="00000000" w:rsidDel="00000000" w:rsidP="00000000" w:rsidRDefault="00000000" w:rsidRPr="00000000" w14:paraId="00000015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الصحة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1979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مرضية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مزمنة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عوامل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وراثية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بيئية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اضطراب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مزمن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للايض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).</w:t>
      </w:r>
    </w:p>
    <w:p w:rsidR="00000000" w:rsidDel="00000000" w:rsidP="00000000" w:rsidRDefault="00000000" w:rsidRPr="00000000" w14:paraId="00000016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التحولات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لعناصر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الأولية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امتصاصها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القناة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الهضمية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تتأكسد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لتعطينا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الطاقة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يحتاجها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الجسم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مادته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والحفاظ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) . </w:t>
      </w:r>
    </w:p>
    <w:p w:rsidR="00000000" w:rsidDel="00000000" w:rsidP="00000000" w:rsidRDefault="00000000" w:rsidRPr="00000000" w14:paraId="00000017">
      <w:pPr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وتشمل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عمليتين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أساسيتين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:-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after="0" w:line="240" w:lineRule="auto"/>
        <w:ind w:left="0" w:firstLine="0"/>
        <w:jc w:val="both"/>
        <w:rPr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الانابولزم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البناء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Anabolism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 :-</w:t>
      </w:r>
    </w:p>
    <w:p w:rsidR="00000000" w:rsidDel="00000000" w:rsidP="00000000" w:rsidRDefault="00000000" w:rsidRPr="00000000" w14:paraId="00000019">
      <w:pPr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لعناصر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البسيطة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التركيب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معقدة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تركيب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الجسم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A">
      <w:pPr>
        <w:tabs>
          <w:tab w:val="right" w:leader="none" w:pos="0"/>
        </w:tabs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الكلوكوز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كلايكوجين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يخزن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الكبد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والعضلات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B">
      <w:pPr>
        <w:tabs>
          <w:tab w:val="right" w:leader="none" w:pos="0"/>
        </w:tabs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الاحماض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الدهنية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دهون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تخزن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الجسم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right" w:leader="none" w:pos="0"/>
        </w:tabs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الاحماض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الامينية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بروتينية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تضاف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بروتين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الجسم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right" w:leader="none" w:pos="0"/>
        </w:tabs>
        <w:bidi w:val="1"/>
        <w:spacing w:after="0" w:line="240" w:lineRule="auto"/>
        <w:ind w:left="0" w:firstLine="0"/>
        <w:jc w:val="both"/>
        <w:rPr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الكاتوبولزم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الهدم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Catoblism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 :-</w:t>
      </w:r>
    </w:p>
    <w:p w:rsidR="00000000" w:rsidDel="00000000" w:rsidP="00000000" w:rsidRDefault="00000000" w:rsidRPr="00000000" w14:paraId="0000001E">
      <w:pPr>
        <w:tabs>
          <w:tab w:val="right" w:leader="none" w:pos="0"/>
        </w:tabs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تحلل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المركبات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الكيميائية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بسيطة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التحلل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الكيميائي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للدهون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الكاربوهيدرات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لانتاج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الطاقة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.</w:t>
      </w:r>
    </w:p>
    <w:p w:rsidR="00000000" w:rsidDel="00000000" w:rsidP="00000000" w:rsidRDefault="00000000" w:rsidRPr="00000000" w14:paraId="0000001F">
      <w:pPr>
        <w:tabs>
          <w:tab w:val="right" w:leader="none" w:pos="0"/>
        </w:tabs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كلوكوز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4091305</wp:posOffset>
                </wp:positionH>
                <wp:positionV relativeFrom="paragraph">
                  <wp:posOffset>43815</wp:posOffset>
                </wp:positionV>
                <wp:extent cx="724205" cy="936345"/>
                <wp:effectExtent b="16510" l="3810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5" cy="936345"/>
                        </a:xfrm>
                        <a:prstGeom prst="leftBrace">
                          <a:avLst/>
                        </a:prstGeom>
                        <a:noFill/>
                        <a:ln cap="flat" cmpd="sng" w="6350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4091305</wp:posOffset>
                </wp:positionH>
                <wp:positionV relativeFrom="paragraph">
                  <wp:posOffset>43815</wp:posOffset>
                </wp:positionV>
                <wp:extent cx="781355" cy="9528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55" cy="952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tabs>
          <w:tab w:val="right" w:leader="none" w:pos="0"/>
        </w:tabs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احماض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دهنية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أوكسيد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الكربون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طاقة</w:t>
      </w:r>
    </w:p>
    <w:p w:rsidR="00000000" w:rsidDel="00000000" w:rsidP="00000000" w:rsidRDefault="00000000" w:rsidRPr="00000000" w14:paraId="00000021">
      <w:pPr>
        <w:tabs>
          <w:tab w:val="right" w:leader="none" w:pos="0"/>
        </w:tabs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احماض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امينية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        </w:t>
      </w:r>
    </w:p>
    <w:p w:rsidR="00000000" w:rsidDel="00000000" w:rsidP="00000000" w:rsidRDefault="00000000" w:rsidRPr="00000000" w14:paraId="00000022">
      <w:pPr>
        <w:tabs>
          <w:tab w:val="right" w:leader="none" w:pos="0"/>
        </w:tabs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مصدرين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والكبد</w:t>
      </w:r>
    </w:p>
    <w:p w:rsidR="00000000" w:rsidDel="00000000" w:rsidP="00000000" w:rsidRDefault="00000000" w:rsidRPr="00000000" w14:paraId="00000023">
      <w:pPr>
        <w:tabs>
          <w:tab w:val="right" w:leader="none" w:pos="0"/>
        </w:tabs>
        <w:bidi w:val="1"/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الهضم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تمتص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جزيئات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والامعاء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الدقيقة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.</w:t>
      </w:r>
    </w:p>
    <w:p w:rsidR="00000000" w:rsidDel="00000000" w:rsidP="00000000" w:rsidRDefault="00000000" w:rsidRPr="00000000" w14:paraId="00000024">
      <w:pPr>
        <w:tabs>
          <w:tab w:val="right" w:leader="none" w:pos="0"/>
        </w:tabs>
        <w:bidi w:val="1"/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ضروريا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للصحة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للطاقة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الفردية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تؤلف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العضلات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والانسجة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5">
      <w:pPr>
        <w:tabs>
          <w:tab w:val="right" w:leader="none" w:pos="0"/>
        </w:tabs>
        <w:bidi w:val="1"/>
        <w:spacing w:after="0" w:before="24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يعمل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الكبد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بمثابة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مخزن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تصنيع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الكلوكوز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فحين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يكون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مستوى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مرتفعا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يخزن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الكبد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الاصطناعي</w:t>
      </w:r>
      <w:r w:rsidDel="00000000" w:rsidR="00000000" w:rsidRPr="00000000">
        <w:rPr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وعند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الامتناع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الطعام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لمدة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معينة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حيث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تكون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مستويات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منخفضة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يحول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الكبد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المخزون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 (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الكلايكوجين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كلوكوز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ويتحرر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الدورة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الدموية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لابقاء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مستوى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ضمن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نطاق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6">
      <w:pPr>
        <w:tabs>
          <w:tab w:val="right" w:leader="none" w:pos="0"/>
        </w:tabs>
        <w:bidi w:val="1"/>
        <w:spacing w:after="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وقد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يأتي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تأثير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بعض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الهرمونات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الأخرى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إضافة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ولكن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بطريقة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معاكسة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بعض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الظروف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تقوم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هرمونات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(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الايبنفرين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الكورتزون</w:t>
      </w:r>
      <w:r w:rsidDel="00000000" w:rsidR="00000000" w:rsidRPr="00000000">
        <w:rPr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بأبطال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مفعول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مما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يمنع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الكلوكوز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الدخول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فتزداد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نسبته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7">
      <w:pPr>
        <w:tabs>
          <w:tab w:val="right" w:leader="none" w:pos="0"/>
        </w:tabs>
        <w:bidi w:val="1"/>
        <w:spacing w:after="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160" w:line="259" w:lineRule="auto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029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الغدد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النبيبية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العنيبية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الغدد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خارجية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العصارة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الهاضمة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الغدد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الصماء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والجلوكاكون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والسوماتوستاتين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طولها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(12.5)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وعرضها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(2.5)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ووزنها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يتراوح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(100-150)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معظمها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(99%)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موجودة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عنيبات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العصارة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(1%)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جزر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لانجرهانس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    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تجمعات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خلوية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مبعثرة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شاحبة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اللون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:-</w:t>
      </w:r>
    </w:p>
    <w:p w:rsidR="00000000" w:rsidDel="00000000" w:rsidP="00000000" w:rsidRDefault="00000000" w:rsidRPr="00000000" w14:paraId="0000002B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rtl w:val="1"/>
        </w:rPr>
        <w:t xml:space="preserve">الفا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rtl w:val="1"/>
        </w:rPr>
        <w:t xml:space="preserve"> :-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الجلوكاكون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(25%)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بيتا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u w:val="single"/>
          <w:rtl w:val="1"/>
        </w:rPr>
        <w:t xml:space="preserve"> :-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يخفض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(70-80%)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4806"/>
          <w:sz w:val="36"/>
          <w:szCs w:val="36"/>
          <w:u w:val="singl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4806"/>
          <w:sz w:val="36"/>
          <w:szCs w:val="36"/>
          <w:u w:val="single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480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4806"/>
          <w:sz w:val="36"/>
          <w:szCs w:val="36"/>
          <w:u w:val="single"/>
          <w:rtl w:val="1"/>
        </w:rPr>
        <w:t xml:space="preserve">دلتا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4806"/>
          <w:sz w:val="36"/>
          <w:szCs w:val="36"/>
          <w:u w:val="single"/>
          <w:rtl w:val="1"/>
        </w:rPr>
        <w:t xml:space="preserve">:-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4806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السوماتوستاتين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يقلل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والجلوكاكون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(5%)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بيتا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(100.000)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جزيرة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لانجرهانس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جزيرة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(80 -100)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بيتا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تتمكن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وتحسس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بأرتفاع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بسرعة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وتبدا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بأفراز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(60)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032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بيتا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اثر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تنبيه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بعصارات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الهضم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يزداد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ارتفاعه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يرتفع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ويتوقف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انخفاض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اقل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الطبيعي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.</w:t>
      </w:r>
    </w:p>
    <w:p w:rsidR="00000000" w:rsidDel="00000000" w:rsidP="00000000" w:rsidRDefault="00000000" w:rsidRPr="00000000" w14:paraId="00000033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تكوين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:-</w:t>
      </w:r>
    </w:p>
    <w:p w:rsidR="00000000" w:rsidDel="00000000" w:rsidP="00000000" w:rsidRDefault="00000000" w:rsidRPr="00000000" w14:paraId="00000034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u w:val="singl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:-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البروانسولين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فعالة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احدى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وثمانين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حامضا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امينيا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وتتحول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فعالة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انقسامها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قسمين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36"/>
          <w:szCs w:val="36"/>
          <w:u w:val="singl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36"/>
          <w:szCs w:val="36"/>
          <w:u w:val="singl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36"/>
          <w:szCs w:val="36"/>
          <w:u w:val="single"/>
          <w:rtl w:val="1"/>
        </w:rPr>
        <w:t xml:space="preserve">:-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احداهما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الفعال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ويتكون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احدى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وخمسين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حامضا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امينيا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الاخر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حلقة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الببتايد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الفعالة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ويتكون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ثلاثين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حامضا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امينيا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يستفاد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قياس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حلقة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الببتايد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للدلالة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كفاية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وامكانيتها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لتصنيع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الدلالات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قياس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يفرز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مرحلتين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:-</w:t>
      </w:r>
    </w:p>
    <w:p w:rsidR="00000000" w:rsidDel="00000000" w:rsidP="00000000" w:rsidRDefault="00000000" w:rsidRPr="00000000" w14:paraId="00000038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المخزون</w:t>
      </w:r>
    </w:p>
    <w:p w:rsidR="00000000" w:rsidDel="00000000" w:rsidP="00000000" w:rsidRDefault="00000000" w:rsidRPr="00000000" w14:paraId="00000039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حديثا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color w:val="7030a0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40"/>
          <w:szCs w:val="40"/>
          <w:u w:val="single"/>
          <w:rtl w:val="1"/>
        </w:rPr>
        <w:t xml:space="preserve">تأثيرات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40"/>
          <w:szCs w:val="40"/>
          <w:u w:val="single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40"/>
          <w:szCs w:val="40"/>
          <w:u w:val="single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40"/>
          <w:szCs w:val="40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03C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استقلاب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الكربوهيدرات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كالاتي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:-</w:t>
      </w:r>
    </w:p>
    <w:p w:rsidR="00000000" w:rsidDel="00000000" w:rsidP="00000000" w:rsidRDefault="00000000" w:rsidRPr="00000000" w14:paraId="0000003D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معدل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استقلاب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الكلوكوز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يخفض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معدل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</w:p>
    <w:p w:rsidR="00000000" w:rsidDel="00000000" w:rsidP="00000000" w:rsidRDefault="00000000" w:rsidRPr="00000000" w14:paraId="0000003F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احتراق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الكلايكوجين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الكبد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والانسجة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الانسولين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الكلوكوز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الشحمية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خزن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الشحم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غياب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الشحم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يخزن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الشحمية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تستهلك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بالتحرر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احماض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امينية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وتعبر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تستهلكه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الجسم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.</w:t>
      </w:r>
    </w:p>
    <w:p w:rsidR="00000000" w:rsidDel="00000000" w:rsidP="00000000" w:rsidRDefault="00000000" w:rsidRPr="00000000" w14:paraId="00000041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استقلاب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البروتين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:-</w:t>
      </w:r>
    </w:p>
    <w:p w:rsidR="00000000" w:rsidDel="00000000" w:rsidP="00000000" w:rsidRDefault="00000000" w:rsidRPr="00000000" w14:paraId="00000042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البروتين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الجسم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النمو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:-</w:t>
      </w:r>
    </w:p>
    <w:p w:rsidR="00000000" w:rsidDel="00000000" w:rsidP="00000000" w:rsidRDefault="00000000" w:rsidRPr="00000000" w14:paraId="00000044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النمو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فغياب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احدهما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يضعف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الاخر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color w:val="4f6228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40"/>
          <w:szCs w:val="40"/>
          <w:u w:val="single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40"/>
          <w:szCs w:val="40"/>
          <w:u w:val="singl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40"/>
          <w:szCs w:val="40"/>
          <w:u w:val="single"/>
          <w:rtl w:val="1"/>
        </w:rPr>
        <w:t xml:space="preserve">السكري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40"/>
          <w:szCs w:val="40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047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:-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قليلة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ويبقى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ويسمى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الفتوي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قليلة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(5-10%) .</w:t>
      </w:r>
    </w:p>
    <w:p w:rsidR="00000000" w:rsidDel="00000000" w:rsidP="00000000" w:rsidRDefault="00000000" w:rsidRPr="00000000" w14:paraId="00000048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ويحدث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غالبا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مبكرة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ويرجع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حدوث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مناعية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ذاتية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ونقص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بيتا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ويعالج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بحقن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حتما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:-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يتصف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بنقص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افراز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يفرز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قليلة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تكفي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لتخفيض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السكر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وتبلغ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(60-65%)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تجاوزوا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الثلاثين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ذاتي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المناعة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تنتج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ولكنها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تنتج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تقاوم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العضلات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والانسجة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.</w:t>
      </w:r>
    </w:p>
    <w:p w:rsidR="00000000" w:rsidDel="00000000" w:rsidP="00000000" w:rsidRDefault="00000000" w:rsidRPr="00000000" w14:paraId="0000004B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مقاومة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لحد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بالرغم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الزائد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والنسيج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الدهني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فمعظم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المصابين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يحتاجون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البنكرياس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توفيره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الأقراص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الحقن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.</w:t>
      </w:r>
    </w:p>
    <w:p w:rsidR="00000000" w:rsidDel="00000000" w:rsidP="00000000" w:rsidRDefault="00000000" w:rsidRPr="00000000" w14:paraId="0000004C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color w:val="ff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1"/>
        </w:rPr>
        <w:t xml:space="preserve">المضاعفات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1"/>
        </w:rPr>
        <w:t xml:space="preserve">المصاحبة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1"/>
        </w:rPr>
        <w:t xml:space="preserve">لداء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1"/>
        </w:rPr>
        <w:t xml:space="preserve">السكر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المضاعفات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القصيرة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الامد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الحادة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1"/>
        </w:rPr>
        <w:t xml:space="preserve"> )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انخفاض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تحدث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(60)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ملغم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/100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مللتر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المرضى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يتعالجون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بالانسولين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انواع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العلاجات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الاخرى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6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1"/>
        </w:rPr>
        <w:t xml:space="preserve">علاجه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معدل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الغازية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ارتفاع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يرتفع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(600)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ملغم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/100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مللتر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وتحدث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لمريض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ويحدث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ارتفاع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الاستيرويد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الكحوليات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الضغط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العصبي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1"/>
        </w:rPr>
        <w:t xml:space="preserve">علاجه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اللجوء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الحامض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44"/>
          <w:szCs w:val="4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53735"/>
          <w:sz w:val="36"/>
          <w:szCs w:val="36"/>
          <w:u w:val="single"/>
          <w:shd w:fill="auto" w:val="clear"/>
          <w:vertAlign w:val="baseline"/>
          <w:rtl w:val="0"/>
        </w:rPr>
        <w:t xml:space="preserve">:-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تحتاج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بحرقها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الدهون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ينتج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حامض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كيتون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وتحدث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للاشخاص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المصابين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بالنوع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اعراضه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الغثيان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المستمر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6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1"/>
        </w:rPr>
        <w:t xml:space="preserve">علاجه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واللجوء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6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0" w:before="173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u w:val="single"/>
          <w:rtl w:val="1"/>
        </w:rPr>
        <w:t xml:space="preserve">المضاعفات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u w:val="single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u w:val="single"/>
          <w:rtl w:val="1"/>
        </w:rPr>
        <w:t xml:space="preserve">الامد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u w:val="singl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u w:val="single"/>
          <w:rtl w:val="1"/>
        </w:rPr>
        <w:t xml:space="preserve">المزمنة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u w:val="single"/>
          <w:rtl w:val="1"/>
        </w:rPr>
        <w:t xml:space="preserve"> ):-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after="0" w:before="154" w:line="240" w:lineRule="auto"/>
        <w:jc w:val="both"/>
        <w:rPr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rtl w:val="0"/>
        </w:rPr>
        <w:t xml:space="preserve"> </w:t>
      </w:r>
      <w:r w:rsidDel="00000000" w:rsidR="00000000" w:rsidRPr="00000000">
        <w:rPr>
          <w:b w:val="1"/>
          <w:color w:val="e46c0a"/>
          <w:sz w:val="40"/>
          <w:szCs w:val="40"/>
          <w:u w:val="single"/>
          <w:rtl w:val="1"/>
        </w:rPr>
        <w:t xml:space="preserve">امراض</w:t>
      </w:r>
      <w:r w:rsidDel="00000000" w:rsidR="00000000" w:rsidRPr="00000000">
        <w:rPr>
          <w:b w:val="1"/>
          <w:color w:val="e46c0a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e46c0a"/>
          <w:sz w:val="40"/>
          <w:szCs w:val="40"/>
          <w:u w:val="single"/>
          <w:rtl w:val="1"/>
        </w:rPr>
        <w:t xml:space="preserve">القلب</w:t>
      </w:r>
      <w:r w:rsidDel="00000000" w:rsidR="00000000" w:rsidRPr="00000000">
        <w:rPr>
          <w:b w:val="1"/>
          <w:color w:val="e46c0a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e46c0a"/>
          <w:sz w:val="40"/>
          <w:szCs w:val="40"/>
          <w:u w:val="single"/>
          <w:rtl w:val="1"/>
        </w:rPr>
        <w:t xml:space="preserve">والاوعية</w:t>
      </w:r>
      <w:r w:rsidDel="00000000" w:rsidR="00000000" w:rsidRPr="00000000">
        <w:rPr>
          <w:b w:val="1"/>
          <w:color w:val="e46c0a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e46c0a"/>
          <w:sz w:val="40"/>
          <w:szCs w:val="40"/>
          <w:u w:val="single"/>
          <w:rtl w:val="1"/>
        </w:rPr>
        <w:t xml:space="preserve">الدموية</w:t>
      </w:r>
      <w:r w:rsidDel="00000000" w:rsidR="00000000" w:rsidRPr="00000000">
        <w:rPr>
          <w:b w:val="1"/>
          <w:color w:val="e46c0a"/>
          <w:sz w:val="40"/>
          <w:szCs w:val="40"/>
          <w:u w:val="single"/>
          <w:rtl w:val="1"/>
        </w:rPr>
        <w:t xml:space="preserve"> :-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يزيد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داء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السكر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خطر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الاصابة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بأمراض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القلب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والاوعية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الدموية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بشكل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تدريجي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وتشمل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after="0" w:before="154"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(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امراض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القلب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والشرايين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التاجية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الالم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الصدر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الذبحة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الصدرية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السكتة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الدماغية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ضيق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الشرايين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ارتفاع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الضغط</w:t>
      </w:r>
      <w:r w:rsidDel="00000000" w:rsidR="00000000" w:rsidRPr="00000000">
        <w:rPr>
          <w:b w:val="1"/>
          <w:color w:val="000000"/>
          <w:sz w:val="40"/>
          <w:szCs w:val="40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after="0" w:line="240" w:lineRule="auto"/>
        <w:jc w:val="both"/>
        <w:rPr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ارتفاع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ضغط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الدم</w:t>
      </w:r>
      <w:r w:rsidDel="00000000" w:rsidR="00000000" w:rsidRPr="00000000">
        <w:rPr>
          <w:b w:val="1"/>
          <w:color w:val="ff0000"/>
          <w:sz w:val="40"/>
          <w:szCs w:val="40"/>
          <w:rtl w:val="1"/>
        </w:rPr>
        <w:t xml:space="preserve"> :-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يمكن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لداء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السكر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ان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يتلف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الشرايين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التي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تنقل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الدم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للقلب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والدماغ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،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والواقع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ان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هذا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التلف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يسهل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تكوين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الرواسب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الدهنية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(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الصفائح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)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في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الشرايين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ويعد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الضغط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من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اكثر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المشكلات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الشائعة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في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العالم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وهو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يعد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سببا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ً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للاصابة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بالسكتة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الدماغية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والازمات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القلبية</w:t>
      </w:r>
      <w:r w:rsidDel="00000000" w:rsidR="00000000" w:rsidRPr="00000000">
        <w:rPr>
          <w:b w:val="1"/>
          <w:color w:val="17375e"/>
          <w:sz w:val="40"/>
          <w:szCs w:val="4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color w:val="943734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43734"/>
          <w:sz w:val="40"/>
          <w:szCs w:val="40"/>
          <w:u w:val="single"/>
          <w:rtl w:val="1"/>
        </w:rPr>
        <w:t xml:space="preserve">الكولسترول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43734"/>
          <w:sz w:val="40"/>
          <w:szCs w:val="40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05C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شمعية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بالدهن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فائدته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انشاء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جدران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الخلايا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وعزل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الاعصاب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يستخدمه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الكبد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لانتاج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احماض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الصفراء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هضم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الكولسترول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متوافرا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بثلاثة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اشكال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:-</w:t>
      </w:r>
    </w:p>
    <w:p w:rsidR="00000000" w:rsidDel="00000000" w:rsidP="00000000" w:rsidRDefault="00000000" w:rsidRPr="00000000" w14:paraId="0000005E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البروتين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الدهني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القليل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الكثافة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LDL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بالكولسترول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السيء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البروتين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الدهني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عالي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الكثافة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HDL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بالكولسترول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البروتين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الدهني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قليل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الكثافة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VLDL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1"/>
        </w:rPr>
        <w:t xml:space="preserve">) .</w:t>
      </w:r>
    </w:p>
    <w:p w:rsidR="00000000" w:rsidDel="00000000" w:rsidP="00000000" w:rsidRDefault="00000000" w:rsidRPr="00000000" w14:paraId="00000061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جدول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يوضح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تصنيف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ارقام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ومعايير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الكولسترول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والشحوم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الثلاثية</w:t>
      </w:r>
    </w:p>
    <w:tbl>
      <w:tblPr>
        <w:tblStyle w:val="Table1"/>
        <w:bidiVisual w:val="1"/>
        <w:tblW w:w="9576.0" w:type="dxa"/>
        <w:jc w:val="left"/>
        <w:tblInd w:w="-108.0" w:type="dxa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4A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الكولسترول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ملغ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دل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ماذا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تعني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القيمة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اقل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200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spacing w:after="160" w:line="259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مقبول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200-239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spacing w:after="160" w:line="259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الحدود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العليا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240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فأكثر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spacing w:after="160" w:line="259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ٍ</w:t>
            </w:r>
          </w:p>
        </w:tc>
      </w:tr>
    </w:tbl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576.0" w:type="dxa"/>
        <w:jc w:val="left"/>
        <w:tblInd w:w="-108.0" w:type="dxa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4A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LDL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كولسترول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ملغ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دل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ماذا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تعني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القيمة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اقل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100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اقرب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الى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المثالي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130-150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الحدود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العليا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160-189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عال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190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فأكثر</w:t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عال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جدا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ً</w:t>
            </w:r>
          </w:p>
        </w:tc>
      </w:tr>
    </w:tbl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6.0" w:type="dxa"/>
        <w:jc w:val="left"/>
        <w:tblInd w:w="-108.0" w:type="dxa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4A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HDL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كولسترول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ملغ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دل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ماذا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تعني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القيمة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اقل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40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منخفض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60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فأكثر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عالي</w:t>
            </w:r>
          </w:p>
        </w:tc>
      </w:tr>
    </w:tbl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6.0" w:type="dxa"/>
        <w:jc w:val="left"/>
        <w:tblInd w:w="-108.0" w:type="dxa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4A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الشحوم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الثلاثية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التراي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كلسيرايد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ماذا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تعني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القيمة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اقل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150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طبيعي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150-199</w:t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الحدود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العليا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200-400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عال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500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فأكثر</w:t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spacing w:after="160" w:line="259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عال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جدا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ً</w:t>
            </w:r>
          </w:p>
        </w:tc>
      </w:tr>
    </w:tbl>
    <w:p w:rsidR="00000000" w:rsidDel="00000000" w:rsidP="00000000" w:rsidRDefault="00000000" w:rsidRPr="00000000" w14:paraId="0000008C">
      <w:pPr>
        <w:bidi w:val="1"/>
        <w:rPr>
          <w:b w:val="1"/>
          <w:color w:val="e36c09"/>
          <w:sz w:val="40"/>
          <w:szCs w:val="40"/>
        </w:rPr>
      </w:pPr>
      <w:r w:rsidDel="00000000" w:rsidR="00000000" w:rsidRPr="00000000">
        <w:rPr>
          <w:b w:val="1"/>
          <w:color w:val="e36c09"/>
          <w:sz w:val="40"/>
          <w:szCs w:val="40"/>
          <w:rtl w:val="1"/>
        </w:rPr>
        <w:t xml:space="preserve">التمرينات</w:t>
      </w:r>
      <w:r w:rsidDel="00000000" w:rsidR="00000000" w:rsidRPr="00000000">
        <w:rPr>
          <w:b w:val="1"/>
          <w:color w:val="e36c09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e36c09"/>
          <w:sz w:val="40"/>
          <w:szCs w:val="40"/>
          <w:rtl w:val="1"/>
        </w:rPr>
        <w:t xml:space="preserve">الرياضية</w:t>
      </w:r>
      <w:r w:rsidDel="00000000" w:rsidR="00000000" w:rsidRPr="00000000">
        <w:rPr>
          <w:b w:val="1"/>
          <w:color w:val="e36c09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e36c09"/>
          <w:sz w:val="40"/>
          <w:szCs w:val="40"/>
          <w:rtl w:val="1"/>
        </w:rPr>
        <w:t xml:space="preserve">والنشاط</w:t>
      </w:r>
      <w:r w:rsidDel="00000000" w:rsidR="00000000" w:rsidRPr="00000000">
        <w:rPr>
          <w:b w:val="1"/>
          <w:color w:val="e36c09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e36c09"/>
          <w:sz w:val="40"/>
          <w:szCs w:val="40"/>
          <w:rtl w:val="1"/>
        </w:rPr>
        <w:t xml:space="preserve">البدني</w:t>
      </w:r>
    </w:p>
    <w:p w:rsidR="00000000" w:rsidDel="00000000" w:rsidP="00000000" w:rsidRDefault="00000000" w:rsidRPr="00000000" w14:paraId="0000008D">
      <w:pPr>
        <w:bidi w:val="1"/>
        <w:spacing w:after="0" w:before="115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الواقع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مريض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السكر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بحاجة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الى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تغذية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سليمة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ورياضة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مناسبة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اجل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حصوله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افضل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مراتب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الصحة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والسيطرة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مرضه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فاللتمرينات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الرياضية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مفعول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مثل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مفعول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لذلك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تسمى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التمرينات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الرياضية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(( </w:t>
      </w:r>
      <w:r w:rsidDel="00000000" w:rsidR="00000000" w:rsidRPr="00000000">
        <w:rPr>
          <w:b w:val="1"/>
          <w:color w:val="376092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color w:val="37609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376092"/>
          <w:sz w:val="36"/>
          <w:szCs w:val="36"/>
          <w:rtl w:val="1"/>
        </w:rPr>
        <w:t xml:space="preserve">غير</w:t>
      </w:r>
      <w:r w:rsidDel="00000000" w:rsidR="00000000" w:rsidRPr="00000000">
        <w:rPr>
          <w:b w:val="1"/>
          <w:color w:val="37609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376092"/>
          <w:sz w:val="36"/>
          <w:szCs w:val="36"/>
          <w:rtl w:val="1"/>
        </w:rPr>
        <w:t xml:space="preserve">المنظور</w:t>
      </w:r>
      <w:r w:rsidDel="00000000" w:rsidR="00000000" w:rsidRPr="00000000">
        <w:rPr>
          <w:b w:val="1"/>
          <w:color w:val="37609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spacing w:after="0" w:before="115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يجب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تدخل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التمرينات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الرياضية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جدول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العلاج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كجزء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اساسي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تثقيف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المريض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وبالنسبة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للمرضى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الذين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يتعاطون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يجب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قياس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السكر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قبل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البدء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بالتمرينات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ويفضل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اذا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زادت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النسبة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عن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(250%)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التوقف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عن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اداء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التمرينات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ذلك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اليوم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ويجب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على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المريض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حقن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ابرة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اليوم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الذي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يكون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فيه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تمرين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البطن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وليس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الفخذ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وذلك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للتقليل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نسبة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وسرعة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امتصاص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اذ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الانقباض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العضلي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يزيد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سرعة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امتصاص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الانسولين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spacing w:after="0" w:before="134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الرياضة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المناسبة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لمريض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السكر</w:t>
      </w:r>
      <w:r w:rsidDel="00000000" w:rsidR="00000000" w:rsidRPr="00000000">
        <w:rPr>
          <w:b w:val="1"/>
          <w:color w:val="c00000"/>
          <w:sz w:val="44"/>
          <w:szCs w:val="44"/>
          <w:u w:val="singl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after="0" w:before="115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الرياضة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الاوكسجينية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:-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وتشمل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spacing w:after="0" w:before="115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الهوائية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او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رياضة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التحمل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كالمشي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النشيط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والهرولة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الجري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السباحة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،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التجذيف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والوثب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بالحبل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spacing w:after="0" w:before="115" w:line="240" w:lineRule="auto"/>
        <w:jc w:val="both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1"/>
        </w:rPr>
        <w:t xml:space="preserve">فوائد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1"/>
        </w:rPr>
        <w:t xml:space="preserve">التمرينات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1"/>
        </w:rPr>
        <w:t xml:space="preserve">والنشاط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1"/>
        </w:rPr>
        <w:t xml:space="preserve">البدني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094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b w:val="1"/>
          <w:sz w:val="32"/>
          <w:szCs w:val="32"/>
          <w:rtl w:val="1"/>
        </w:rPr>
        <w:t xml:space="preserve">زيادة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حساسية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العضلات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للانسولين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وبالتالي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تسهيل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السكر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كمصدر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للطاقة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يسهل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عملية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تقليله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الدم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تخفيض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نسبة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الدهون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وخاصة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الثلاثية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3- </w:t>
      </w:r>
      <w:r w:rsidDel="00000000" w:rsidR="00000000" w:rsidRPr="00000000">
        <w:rPr>
          <w:b w:val="1"/>
          <w:sz w:val="32"/>
          <w:szCs w:val="32"/>
          <w:rtl w:val="1"/>
        </w:rPr>
        <w:t xml:space="preserve">رفع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نسبة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الدهن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عالي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الكثافة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0"/>
        </w:rPr>
        <w:t xml:space="preserve">HDL</w:t>
      </w:r>
      <w:r w:rsidDel="00000000" w:rsidR="00000000" w:rsidRPr="00000000">
        <w:rPr>
          <w:b w:val="1"/>
          <w:sz w:val="32"/>
          <w:szCs w:val="32"/>
          <w:rtl w:val="1"/>
        </w:rPr>
        <w:t xml:space="preserve">).</w:t>
      </w:r>
    </w:p>
    <w:p w:rsidR="00000000" w:rsidDel="00000000" w:rsidP="00000000" w:rsidRDefault="00000000" w:rsidRPr="00000000" w14:paraId="00000097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4-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تعمل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تحسين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الدورة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الدموية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بشكل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وخاصة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شرايين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القلب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98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5-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التمرينات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الرياضية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تساعد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التخلص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السمنة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والوزن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الزائد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وتؤدي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سيطرة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جيدة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السكر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6-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تقي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هشاشة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العظام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7-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التهاب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المفاصل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يؤثر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العضلة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ويؤدي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قصرها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B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8-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التمرينات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ذات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عالية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):-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bidi w:val="1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تزيد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مقدار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استهلاك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كلوكوز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العضلات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bidi w:val="1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تخفض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مستوى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كلوكوز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البلازما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9-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التمرينات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المزمنة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المستمرة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):-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bidi w:val="1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زيادة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حساسية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الانسولين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استهلاك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كلوكوز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العضلات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الهيكلية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وتحويله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كلايكوجين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التمرين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bidi w:val="1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زيادة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استجابة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الانسولين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1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10-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الفوائد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النفسية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:-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بعض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مرضى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السكري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يرغبون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يستطيعون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الاستمتاع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بالنشاط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الرياضي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ولكنهم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يشعرون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بالسعادة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عندما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يتقدمون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مزاولة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التمرينات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ويلاحظون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تحسن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وظائف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تناقص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الخمول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والكسل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ممارستهم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للتمرينات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الرياضية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A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>
          <w:b w:val="1"/>
          <w:color w:val="002060"/>
          <w:sz w:val="32"/>
          <w:szCs w:val="32"/>
        </w:rPr>
      </w:pP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الخطوات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المتبعة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قبل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البدء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بتطبيق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المنهج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الرياضي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للمصابين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بداء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السكري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 :-</w:t>
      </w:r>
    </w:p>
    <w:p w:rsidR="00000000" w:rsidDel="00000000" w:rsidP="00000000" w:rsidRDefault="00000000" w:rsidRPr="00000000" w14:paraId="000000A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1-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مريض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يختار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التمرينات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الملائمة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لصحته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وغير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المجهدة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2-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أداء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تمرينات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(3-5)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ولمدة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(20-40)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دقيقة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3-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تسخين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جيدا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التمرين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وتهدئة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التمرين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4-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يستطيع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مريض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يستمر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(20)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دقيقة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البداية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الممكن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يبدا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(5)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دقائق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وتزداد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تدريجيا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5-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تزداد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(5-7)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يساعد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تنشيط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افراز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الانسولين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بمعدل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منتظم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6-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القيام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بمجهود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عضلي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معتاد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يجب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تناول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إضافية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تقليل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جرعة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الانسولين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AA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7-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مستوى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(250)</w:t>
      </w:r>
      <w:r w:rsidDel="00000000" w:rsidR="00000000" w:rsidRPr="00000000">
        <w:rPr>
          <w:b w:val="1"/>
          <w:sz w:val="28"/>
          <w:szCs w:val="28"/>
          <w:rtl w:val="1"/>
        </w:rPr>
        <w:t xml:space="preserve">ملغم</w:t>
      </w:r>
      <w:r w:rsidDel="00000000" w:rsidR="00000000" w:rsidRPr="00000000">
        <w:rPr>
          <w:b w:val="1"/>
          <w:sz w:val="28"/>
          <w:szCs w:val="28"/>
          <w:rtl w:val="1"/>
        </w:rPr>
        <w:t xml:space="preserve">/100</w:t>
      </w:r>
      <w:r w:rsidDel="00000000" w:rsidR="00000000" w:rsidRPr="00000000">
        <w:rPr>
          <w:b w:val="1"/>
          <w:sz w:val="28"/>
          <w:szCs w:val="28"/>
          <w:rtl w:val="1"/>
        </w:rPr>
        <w:t xml:space="preserve">مللتر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وجود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احماض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ممارسة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الرياضة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السيطرة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تزيد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B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8-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قياس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نسبة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الانتهاء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فورا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التمرينات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(4-5)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،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المريض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يكون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عرضه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لهبوط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مفاجئ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(24)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C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9-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اجراء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مجموعة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القياسات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الجسمية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تتضمن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والوزن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ومحيط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الخصر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D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10-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ضربات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وقت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الراحة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وتحديد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النبض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الأقصى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11-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مرضى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السكري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يتناولون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الأقراص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الانسولين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لتجنب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فعل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الانسولين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اثناء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التمرينات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F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12-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اجراء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التمرينات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ذروة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الانسولين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13-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تناول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السوائل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النشاط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اثنائه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وبعده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B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14- 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يجب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اختيار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الحذاء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والمريح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تشيع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الإصابة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بالامراض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العصبية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وفقدان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الإحساس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نتيجة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لاعتلال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الاعصاب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الطرفية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يمنع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وصول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الأطراف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الاقدام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بشكل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  <w:font w:name="Times New Roman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  <w:shd w:fill="efd3d3" w:val="clear"/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fill="efd3d3" w:val="clear"/>
      </w:tcPr>
    </w:tblStylePr>
    <w:tblStylePr w:type="band2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c0504d" w:space="0" w:sz="8" w:val="single"/>
          <w:left w:color="c0504d" w:space="0" w:sz="8" w:val="single"/>
          <w:bottom w:color="c0504d" w:space="0" w:sz="18" w:val="single"/>
          <w:right w:color="c0504d" w:space="0" w:sz="8" w:val="single"/>
          <w:insideH w:color="000000" w:space="0" w:sz="0" w:val="nil"/>
          <w:insideV w:color="c0504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  <w:insideH w:color="000000" w:space="0" w:sz="0" w:val="nil"/>
          <w:insideV w:color="c0504d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fill="e6eed5" w:val="clear"/>
      </w:tcPr>
    </w:tblStylePr>
    <w:tblStylePr w:type="band1Vert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fill="e6eed5" w:val="clear"/>
      </w:tcPr>
    </w:tblStylePr>
    <w:tblStylePr w:type="band2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color="000000" w:space="0" w:sz="0" w:val="nil"/>
          <w:insideV w:color="9bbb59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9bbb59" w:space="0" w:sz="6" w:val="single"/>
          <w:left w:color="9bbb59" w:space="0" w:sz="8" w:val="single"/>
          <w:bottom w:color="9bbb59" w:space="0" w:sz="8" w:val="single"/>
          <w:right w:color="9bbb59" w:space="0" w:sz="8" w:val="single"/>
          <w:insideH w:color="000000" w:space="0" w:sz="0" w:val="nil"/>
          <w:insideV w:color="9bbb59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