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57" w:rsidRDefault="00D12257" w:rsidP="002943EA">
      <w:pPr>
        <w:spacing w:after="0" w:line="240" w:lineRule="auto"/>
        <w:jc w:val="center"/>
        <w:rPr>
          <w:rFonts w:cs="Times New Roman" w:hint="cs"/>
          <w:b/>
          <w:bCs/>
          <w:sz w:val="28"/>
          <w:szCs w:val="28"/>
          <w:rtl/>
          <w:lang w:val="ru-RU" w:bidi="ar-IQ"/>
        </w:rPr>
      </w:pPr>
    </w:p>
    <w:p w:rsidR="002943EA" w:rsidRPr="00FF5C6C" w:rsidRDefault="002943EA" w:rsidP="002943EA">
      <w:pPr>
        <w:spacing w:after="0" w:line="240" w:lineRule="auto"/>
        <w:jc w:val="center"/>
        <w:rPr>
          <w:rFonts w:cstheme="minorHAnsi"/>
          <w:b/>
          <w:bCs/>
          <w:sz w:val="28"/>
          <w:szCs w:val="28"/>
          <w:rtl/>
          <w:lang w:val="ru-RU" w:bidi="ar-IQ"/>
        </w:rPr>
      </w:pPr>
      <w:r>
        <w:rPr>
          <w:rFonts w:cs="Times New Roman" w:hint="cs"/>
          <w:b/>
          <w:bCs/>
          <w:sz w:val="28"/>
          <w:szCs w:val="28"/>
          <w:rtl/>
          <w:lang w:val="ru-RU" w:bidi="ar-IQ"/>
        </w:rPr>
        <w:t>مر</w:t>
      </w:r>
      <w:r w:rsidRPr="00FF5C6C">
        <w:rPr>
          <w:rFonts w:cs="Times New Roman"/>
          <w:b/>
          <w:bCs/>
          <w:sz w:val="28"/>
          <w:szCs w:val="28"/>
          <w:rtl/>
          <w:lang w:val="ru-RU" w:bidi="ar-IQ"/>
        </w:rPr>
        <w:t xml:space="preserve">كز الدراسات </w:t>
      </w:r>
      <w:r>
        <w:rPr>
          <w:rFonts w:cs="Times New Roman"/>
          <w:b/>
          <w:bCs/>
          <w:sz w:val="28"/>
          <w:szCs w:val="28"/>
          <w:rtl/>
          <w:lang w:val="ru-RU" w:bidi="ar-IQ"/>
        </w:rPr>
        <w:t>الإستراتيجية</w:t>
      </w:r>
      <w:r w:rsidRPr="00FF5C6C">
        <w:rPr>
          <w:rFonts w:cs="Times New Roman"/>
          <w:b/>
          <w:bCs/>
          <w:sz w:val="28"/>
          <w:szCs w:val="28"/>
          <w:rtl/>
          <w:lang w:val="ru-RU" w:bidi="ar-IQ"/>
        </w:rPr>
        <w:t xml:space="preserve"> والدولية </w:t>
      </w:r>
      <w:r w:rsidRPr="00FF5C6C">
        <w:rPr>
          <w:rFonts w:cstheme="minorHAnsi"/>
          <w:b/>
          <w:bCs/>
          <w:sz w:val="28"/>
          <w:szCs w:val="28"/>
          <w:rtl/>
          <w:lang w:val="ru-RU" w:bidi="ar-IQ"/>
        </w:rPr>
        <w:t xml:space="preserve">/ </w:t>
      </w:r>
      <w:r w:rsidRPr="00FF5C6C">
        <w:rPr>
          <w:rFonts w:cs="Times New Roman"/>
          <w:b/>
          <w:bCs/>
          <w:sz w:val="28"/>
          <w:szCs w:val="28"/>
          <w:rtl/>
          <w:lang w:val="ru-RU" w:bidi="ar-IQ"/>
        </w:rPr>
        <w:t>جامعة بغداد</w:t>
      </w:r>
    </w:p>
    <w:p w:rsidR="002943EA" w:rsidRDefault="007D0CFF" w:rsidP="002943EA">
      <w:pPr>
        <w:tabs>
          <w:tab w:val="left" w:pos="5348"/>
        </w:tabs>
        <w:spacing w:line="240" w:lineRule="auto"/>
        <w:rPr>
          <w:b/>
          <w:bCs/>
          <w:sz w:val="28"/>
          <w:szCs w:val="28"/>
          <w:lang w:val="ru-RU" w:bidi="ar-IQ"/>
        </w:rPr>
      </w:pPr>
      <w:r>
        <w:rPr>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alt="الوصف: نسيج أزرق" style="position:absolute;left:0;text-align:left;margin-left:61.1pt;margin-top:15.1pt;width:459.75pt;height:27.7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OLRi3gAAAAoBAAAPAAAAZHJz&#10;L2Rvd25yZXYueG1sTI9NT4QwEIbvJv6HZky8uS34wYqUDWr0uMb98DxABSKdEtpl0V/v7ElPkzfz&#10;5J1nstVsezGZ0XeONEQLBcJQ5eqOGg277cvVEoQPSDX2joyGb+NhlZ+fZZjW7kjvZtqERnAJ+RQ1&#10;tCEMqZS+ao1Fv3CDId59utFi4Dg2sh7xyOW2l7FSd9JiR3yhxcE8tab62hyshuKj2a/fInwmerSv&#10;97spKX6qUuvLi7l4ABHMHP5gOOmzOuTsVLoD1V70nOM4ZlTDteJ5AtRNlIAoNSxvE5B5Jv+/kP8C&#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">
            <v:fill r:id="rId7" o:title="نسيج أزرق" recolor="t" type="tile"/>
            <v:textbox>
              <w:txbxContent>
                <w:p w:rsidR="002943EA" w:rsidRDefault="002943EA" w:rsidP="002943EA">
                  <w:pPr>
                    <w:jc w:val="center"/>
                    <w:rPr>
                      <w:rFonts w:cs="Times New Roman"/>
                      <w:b/>
                      <w:bCs/>
                      <w:sz w:val="24"/>
                      <w:szCs w:val="24"/>
                      <w:rtl/>
                      <w:lang w:bidi="ar-IQ"/>
                    </w:rPr>
                  </w:pPr>
                  <w:r w:rsidRPr="00AD3558">
                    <w:rPr>
                      <w:rFonts w:cs="Times New Roman"/>
                      <w:b/>
                      <w:bCs/>
                      <w:sz w:val="24"/>
                      <w:szCs w:val="24"/>
                      <w:rtl/>
                      <w:lang w:bidi="ar-IQ"/>
                    </w:rPr>
                    <w:t>خطة المؤتمرات و الندوات</w:t>
                  </w:r>
                  <w:r>
                    <w:rPr>
                      <w:rFonts w:cs="Times New Roman" w:hint="cs"/>
                      <w:b/>
                      <w:bCs/>
                      <w:sz w:val="24"/>
                      <w:szCs w:val="24"/>
                      <w:rtl/>
                      <w:lang w:bidi="ar-IQ"/>
                    </w:rPr>
                    <w:t xml:space="preserve"> العلمية</w:t>
                  </w:r>
                  <w:r w:rsidRPr="00AD3558">
                    <w:rPr>
                      <w:rFonts w:cs="Times New Roman"/>
                      <w:b/>
                      <w:bCs/>
                      <w:sz w:val="24"/>
                      <w:szCs w:val="24"/>
                      <w:rtl/>
                      <w:lang w:bidi="ar-IQ"/>
                    </w:rPr>
                    <w:t xml:space="preserve"> وورش العمل و الحلقات النقاشية </w:t>
                  </w:r>
                  <w:r>
                    <w:rPr>
                      <w:rFonts w:cs="Times New Roman" w:hint="cs"/>
                      <w:b/>
                      <w:bCs/>
                      <w:sz w:val="24"/>
                      <w:szCs w:val="24"/>
                      <w:rtl/>
                      <w:lang w:bidi="ar-IQ"/>
                    </w:rPr>
                    <w:t>لعام 2024</w:t>
                  </w:r>
                </w:p>
                <w:p w:rsidR="002943EA" w:rsidRPr="00AD3558" w:rsidRDefault="002943EA" w:rsidP="002943EA">
                  <w:pPr>
                    <w:jc w:val="center"/>
                    <w:rPr>
                      <w:rFonts w:cstheme="minorHAnsi"/>
                      <w:b/>
                      <w:bCs/>
                      <w:sz w:val="24"/>
                      <w:szCs w:val="24"/>
                      <w:rtl/>
                      <w:lang w:bidi="ar-IQ"/>
                    </w:rPr>
                  </w:pPr>
                </w:p>
                <w:p w:rsidR="002943EA" w:rsidRPr="00AD3558" w:rsidRDefault="002943EA" w:rsidP="002943EA">
                  <w:pPr>
                    <w:rPr>
                      <w:lang w:bidi="ar-IQ"/>
                    </w:rPr>
                  </w:pPr>
                </w:p>
              </w:txbxContent>
            </v:textbox>
          </v:shape>
        </w:pict>
      </w:r>
      <w:r w:rsidR="002943EA">
        <w:rPr>
          <w:b/>
          <w:bCs/>
          <w:sz w:val="28"/>
          <w:szCs w:val="28"/>
          <w:rtl/>
          <w:lang w:val="ru-RU" w:bidi="ar-IQ"/>
        </w:rPr>
        <w:tab/>
      </w:r>
    </w:p>
    <w:p w:rsidR="002943EA" w:rsidRDefault="002943EA" w:rsidP="002943EA">
      <w:pPr>
        <w:jc w:val="center"/>
        <w:rPr>
          <w:b/>
          <w:bCs/>
          <w:sz w:val="28"/>
          <w:szCs w:val="28"/>
          <w:rtl/>
          <w:lang w:bidi="ar-IQ"/>
        </w:rPr>
      </w:pPr>
    </w:p>
    <w:tbl>
      <w:tblPr>
        <w:tblStyle w:val="a3"/>
        <w:bidiVisual/>
        <w:tblW w:w="16471" w:type="dxa"/>
        <w:tblInd w:w="-1102" w:type="dxa"/>
        <w:tblLayout w:type="fixed"/>
        <w:tblLook w:val="04A0"/>
      </w:tblPr>
      <w:tblGrid>
        <w:gridCol w:w="567"/>
        <w:gridCol w:w="1932"/>
        <w:gridCol w:w="1283"/>
        <w:gridCol w:w="998"/>
        <w:gridCol w:w="1283"/>
        <w:gridCol w:w="2993"/>
        <w:gridCol w:w="1283"/>
        <w:gridCol w:w="1141"/>
        <w:gridCol w:w="1283"/>
        <w:gridCol w:w="1854"/>
        <w:gridCol w:w="1854"/>
      </w:tblGrid>
      <w:tr w:rsidR="002943EA" w:rsidRPr="00237ED3" w:rsidTr="004A5F7D">
        <w:trPr>
          <w:cantSplit/>
          <w:trHeight w:val="3178"/>
        </w:trPr>
        <w:tc>
          <w:tcPr>
            <w:tcW w:w="567" w:type="dxa"/>
            <w:shd w:val="clear" w:color="auto" w:fill="D6E3BC" w:themeFill="accent3" w:themeFillTint="66"/>
            <w:vAlign w:val="center"/>
          </w:tcPr>
          <w:p w:rsidR="002943EA" w:rsidRPr="00465E52" w:rsidRDefault="002943EA" w:rsidP="005827DB">
            <w:pPr>
              <w:jc w:val="center"/>
              <w:rPr>
                <w:rFonts w:cstheme="minorHAnsi"/>
                <w:b/>
                <w:bCs/>
                <w:rtl/>
                <w:lang w:bidi="ar-IQ"/>
              </w:rPr>
            </w:pPr>
            <w:r w:rsidRPr="00465E52">
              <w:rPr>
                <w:rFonts w:cs="Times New Roman"/>
                <w:b/>
                <w:bCs/>
                <w:rtl/>
                <w:lang w:bidi="ar-IQ"/>
              </w:rPr>
              <w:t>ت</w:t>
            </w:r>
          </w:p>
        </w:tc>
        <w:tc>
          <w:tcPr>
            <w:tcW w:w="1932" w:type="dxa"/>
            <w:shd w:val="clear" w:color="auto" w:fill="D9D9D9" w:themeFill="background1" w:themeFillShade="D9"/>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عنوان النشاط المقُترح مع إدراج نوعه أزاء العنوان:</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(مؤتمر، ندوة، ورشة عمل، حلقة نقاشية)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موعد الإنعقاد</w:t>
            </w:r>
          </w:p>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(يوم، شهر، سنة)</w:t>
            </w:r>
          </w:p>
        </w:tc>
        <w:tc>
          <w:tcPr>
            <w:tcW w:w="998"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 xml:space="preserve">مدة </w:t>
            </w:r>
            <w:r w:rsidRPr="00465E52">
              <w:rPr>
                <w:rFonts w:ascii="Simplified Arabic" w:hAnsi="Simplified Arabic" w:cs="Simplified Arabic" w:hint="cs"/>
                <w:b/>
                <w:bCs/>
                <w:color w:val="000000" w:themeColor="text1"/>
                <w:rtl/>
                <w:lang w:val="ru-RU" w:bidi="ar-IQ"/>
              </w:rPr>
              <w:t>الانعقاد</w:t>
            </w:r>
            <w:r w:rsidRPr="00465E52">
              <w:rPr>
                <w:rFonts w:ascii="Simplified Arabic" w:hAnsi="Simplified Arabic" w:cs="Simplified Arabic"/>
                <w:b/>
                <w:bCs/>
                <w:color w:val="000000" w:themeColor="text1"/>
                <w:rtl/>
                <w:lang w:val="ru-RU" w:bidi="ar-IQ"/>
              </w:rPr>
              <w:t xml:space="preserve">  (يوم –  يومان..)</w:t>
            </w:r>
          </w:p>
        </w:tc>
        <w:tc>
          <w:tcPr>
            <w:tcW w:w="1283" w:type="dxa"/>
            <w:shd w:val="clear" w:color="auto" w:fill="F2F2F2" w:themeFill="background1" w:themeFillShade="F2"/>
            <w:textDirection w:val="btLr"/>
            <w:vAlign w:val="center"/>
          </w:tcPr>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تخصص النشاط:</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علوم طبيعية، هندسية وتكنولوجيا</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العلوم الطبية والصحية، علومزراعية،</w:t>
            </w:r>
          </w:p>
          <w:p w:rsidR="002943EA" w:rsidRPr="00465E52" w:rsidRDefault="002943EA" w:rsidP="005827DB">
            <w:pPr>
              <w:ind w:left="113" w:right="113"/>
              <w:jc w:val="center"/>
              <w:rPr>
                <w:rFonts w:ascii="Simplified Arabic" w:hAnsi="Simplified Arabic" w:cs="Simplified Arabic"/>
                <w:b/>
                <w:bCs/>
                <w:rtl/>
                <w:lang w:bidi="ar-IQ"/>
              </w:rPr>
            </w:pPr>
            <w:r w:rsidRPr="00465E52">
              <w:rPr>
                <w:rFonts w:ascii="Simplified Arabic" w:hAnsi="Simplified Arabic" w:cs="Simplified Arabic"/>
                <w:b/>
                <w:bCs/>
                <w:rtl/>
                <w:lang w:bidi="ar-IQ"/>
              </w:rPr>
              <w:t>علوم إجتماعية، علوم إنسانية</w:t>
            </w:r>
          </w:p>
        </w:tc>
        <w:tc>
          <w:tcPr>
            <w:tcW w:w="299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نبذة عن النشاط</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 xml:space="preserve">مكان </w:t>
            </w:r>
            <w:r>
              <w:rPr>
                <w:rFonts w:ascii="Simplified Arabic" w:hAnsi="Simplified Arabic" w:cs="Simplified Arabic" w:hint="cs"/>
                <w:b/>
                <w:bCs/>
                <w:color w:val="000000" w:themeColor="text1"/>
                <w:rtl/>
                <w:lang w:val="ru-RU" w:bidi="ar-IQ"/>
              </w:rPr>
              <w:t>الإنعقاد</w:t>
            </w:r>
          </w:p>
        </w:tc>
        <w:tc>
          <w:tcPr>
            <w:tcW w:w="1141"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الجهة المُنظمة</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(القسم – الفرع – الوحدة)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جهات مُشاركة إن وجدت</w:t>
            </w:r>
          </w:p>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 xml:space="preserve"> (كليات، جامعات، مؤسسات، وزارات...)</w:t>
            </w:r>
          </w:p>
        </w:tc>
        <w:tc>
          <w:tcPr>
            <w:tcW w:w="1854"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الهاتف النقال</w:t>
            </w:r>
          </w:p>
        </w:tc>
        <w:tc>
          <w:tcPr>
            <w:tcW w:w="1854" w:type="dxa"/>
            <w:shd w:val="clear" w:color="auto" w:fill="F2F2F2" w:themeFill="background1" w:themeFillShade="F2"/>
            <w:textDirection w:val="btLr"/>
            <w:vAlign w:val="center"/>
          </w:tcPr>
          <w:p w:rsidR="002943EA" w:rsidRPr="00A60FEA" w:rsidRDefault="002943EA" w:rsidP="005827DB">
            <w:pPr>
              <w:tabs>
                <w:tab w:val="left" w:pos="-3261"/>
              </w:tabs>
              <w:ind w:left="113" w:right="113"/>
              <w:jc w:val="center"/>
              <w:rPr>
                <w:rFonts w:cs="Simplified Arabic"/>
                <w:b/>
                <w:bCs/>
                <w:color w:val="000000" w:themeColor="text1"/>
                <w:rtl/>
                <w:lang w:val="ru-RU" w:bidi="ar-IQ"/>
              </w:rPr>
            </w:pPr>
            <w:r w:rsidRPr="00A60FEA">
              <w:rPr>
                <w:rFonts w:cs="Simplified Arabic" w:hint="cs"/>
                <w:b/>
                <w:bCs/>
                <w:color w:val="000000" w:themeColor="text1"/>
                <w:rtl/>
                <w:lang w:val="ru-RU" w:bidi="ar-IQ"/>
              </w:rPr>
              <w:t>البريد الإلكتروني</w:t>
            </w:r>
          </w:p>
        </w:tc>
      </w:tr>
      <w:tr w:rsidR="004A5F7D" w:rsidRPr="00F4768D" w:rsidTr="004A5F7D">
        <w:trPr>
          <w:cantSplit/>
          <w:trHeight w:val="2521"/>
        </w:trPr>
        <w:tc>
          <w:tcPr>
            <w:tcW w:w="567" w:type="dxa"/>
            <w:shd w:val="clear" w:color="auto" w:fill="EAF1DD" w:themeFill="accent3" w:themeFillTint="33"/>
            <w:vAlign w:val="center"/>
          </w:tcPr>
          <w:p w:rsidR="004A5F7D" w:rsidRPr="00465E52" w:rsidRDefault="004A5F7D" w:rsidP="005827DB">
            <w:pPr>
              <w:jc w:val="center"/>
              <w:rPr>
                <w:rFonts w:ascii="Simplified Arabic" w:hAnsi="Simplified Arabic" w:cs="Simplified Arabic"/>
                <w:b/>
                <w:bCs/>
                <w:rtl/>
                <w:lang w:bidi="ar-IQ"/>
              </w:rPr>
            </w:pPr>
            <w:r w:rsidRPr="00465E52">
              <w:rPr>
                <w:rFonts w:ascii="Simplified Arabic" w:hAnsi="Simplified Arabic" w:cs="Simplified Arabic"/>
                <w:b/>
                <w:bCs/>
                <w:rtl/>
                <w:lang w:bidi="ar-IQ"/>
              </w:rPr>
              <w:t>1</w:t>
            </w:r>
          </w:p>
        </w:tc>
        <w:tc>
          <w:tcPr>
            <w:tcW w:w="1932" w:type="dxa"/>
            <w:shd w:val="clear" w:color="auto" w:fill="F2F2F2" w:themeFill="background1" w:themeFillShade="F2"/>
            <w:vAlign w:val="center"/>
          </w:tcPr>
          <w:p w:rsidR="004A5F7D" w:rsidRPr="00D82E91" w:rsidRDefault="004A5F7D" w:rsidP="008137BA">
            <w:pPr>
              <w:tabs>
                <w:tab w:val="left" w:pos="-3261"/>
              </w:tabs>
              <w:jc w:val="lowKashida"/>
              <w:rPr>
                <w:rFonts w:ascii="Simplified Arabic" w:hAnsi="Simplified Arabic" w:cs="Simplified Arabic"/>
                <w:b/>
                <w:bCs/>
                <w:lang w:val="ru-RU" w:bidi="ar-IQ"/>
              </w:rPr>
            </w:pPr>
            <w:r w:rsidRPr="00D82E91">
              <w:rPr>
                <w:rFonts w:ascii="Simplified Arabic" w:hAnsi="Simplified Arabic" w:cs="Simplified Arabic"/>
                <w:b/>
                <w:bCs/>
                <w:rtl/>
                <w:lang w:val="ru-RU" w:bidi="ar-IQ"/>
              </w:rPr>
              <w:t>حلقة نقاشية /أثر دبلوماسية الطاقة على المخططات الاستراتيجية لصانع القرار</w:t>
            </w:r>
          </w:p>
        </w:tc>
        <w:tc>
          <w:tcPr>
            <w:tcW w:w="1283" w:type="dxa"/>
            <w:vAlign w:val="center"/>
          </w:tcPr>
          <w:p w:rsidR="004A5F7D" w:rsidRPr="00BD22EC" w:rsidRDefault="004A5F7D" w:rsidP="008137BA">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11/3/2024</w:t>
            </w:r>
          </w:p>
        </w:tc>
        <w:tc>
          <w:tcPr>
            <w:tcW w:w="998" w:type="dxa"/>
            <w:vAlign w:val="center"/>
          </w:tcPr>
          <w:p w:rsidR="004A5F7D" w:rsidRPr="00BD22EC" w:rsidRDefault="004A5F7D" w:rsidP="008137BA">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يوم واحد</w:t>
            </w:r>
          </w:p>
        </w:tc>
        <w:tc>
          <w:tcPr>
            <w:tcW w:w="1283" w:type="dxa"/>
            <w:vAlign w:val="center"/>
          </w:tcPr>
          <w:p w:rsidR="004A5F7D" w:rsidRPr="00BD22EC" w:rsidRDefault="004A5F7D" w:rsidP="008137BA">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اجتماعي</w:t>
            </w:r>
          </w:p>
        </w:tc>
        <w:tc>
          <w:tcPr>
            <w:tcW w:w="2993" w:type="dxa"/>
            <w:vAlign w:val="center"/>
          </w:tcPr>
          <w:p w:rsidR="004A5F7D" w:rsidRPr="00BD22EC" w:rsidRDefault="004A5F7D" w:rsidP="008137BA">
            <w:pPr>
              <w:jc w:val="both"/>
              <w:rPr>
                <w:rFonts w:ascii="Simplified Arabic" w:hAnsi="Simplified Arabic" w:cs="Simplified Arabic"/>
                <w:b/>
                <w:bCs/>
                <w:rtl/>
                <w:lang w:bidi="ar-IQ"/>
              </w:rPr>
            </w:pPr>
            <w:r w:rsidRPr="00BD22EC">
              <w:rPr>
                <w:rFonts w:ascii="Simplified Arabic" w:hAnsi="Simplified Arabic" w:cs="Simplified Arabic"/>
                <w:b/>
                <w:bCs/>
                <w:rtl/>
                <w:lang w:bidi="ar-IQ"/>
              </w:rPr>
              <w:t>اصبحت دبلوماسية الطاقة من الوسائل المؤثرة على خطط صانع القرار الحكومي، إذ تمتلك رؤى ومهارات استراتيجية تفتح افاق اوسع امام صانع القرار لتحديد اهدافهم المستقبلية وايضا اجتناب المخاطر المحتملة على مستوى العلاقات الدولية</w:t>
            </w:r>
          </w:p>
        </w:tc>
        <w:tc>
          <w:tcPr>
            <w:tcW w:w="1283" w:type="dxa"/>
            <w:vAlign w:val="center"/>
          </w:tcPr>
          <w:p w:rsidR="004A5F7D" w:rsidRPr="00BD22EC" w:rsidRDefault="004A5F7D" w:rsidP="008137BA">
            <w:pPr>
              <w:tabs>
                <w:tab w:val="left" w:pos="-3261"/>
              </w:tabs>
              <w:jc w:val="center"/>
              <w:rPr>
                <w:rFonts w:ascii="Simplified Arabic" w:hAnsi="Simplified Arabic" w:cs="Simplified Arabic"/>
                <w:b/>
                <w:bCs/>
                <w:rtl/>
                <w:lang w:val="ru-RU" w:bidi="ar-IQ"/>
              </w:rPr>
            </w:pPr>
            <w:r w:rsidRPr="00BD22EC">
              <w:rPr>
                <w:rFonts w:ascii="Simplified Arabic" w:hAnsi="Simplified Arabic" w:cs="Simplified Arabic"/>
                <w:b/>
                <w:bCs/>
                <w:rtl/>
                <w:lang w:val="ru-RU" w:bidi="ar-IQ"/>
              </w:rPr>
              <w:t>مركز الدراسات الإستراتيجية والدولية</w:t>
            </w:r>
          </w:p>
        </w:tc>
        <w:tc>
          <w:tcPr>
            <w:tcW w:w="1141" w:type="dxa"/>
          </w:tcPr>
          <w:p w:rsidR="004A5F7D" w:rsidRPr="00BD22EC" w:rsidRDefault="004A5F7D" w:rsidP="00D12257">
            <w:pPr>
              <w:rPr>
                <w:rFonts w:ascii="Simplified Arabic" w:hAnsi="Simplified Arabic" w:cs="Simplified Arabic"/>
                <w:b/>
                <w:bCs/>
                <w:rtl/>
                <w:lang w:bidi="ar-IQ"/>
              </w:rPr>
            </w:pPr>
          </w:p>
          <w:p w:rsidR="004A5F7D" w:rsidRPr="00BD22EC" w:rsidRDefault="004A5F7D" w:rsidP="008137BA">
            <w:pPr>
              <w:jc w:val="center"/>
              <w:rPr>
                <w:rFonts w:ascii="Simplified Arabic" w:hAnsi="Simplified Arabic" w:cs="Simplified Arabic"/>
                <w:b/>
                <w:bCs/>
                <w:lang w:bidi="ar-IQ"/>
              </w:rPr>
            </w:pPr>
            <w:r w:rsidRPr="00BD22EC">
              <w:rPr>
                <w:rFonts w:ascii="Simplified Arabic" w:hAnsi="Simplified Arabic" w:cs="Simplified Arabic"/>
                <w:b/>
                <w:bCs/>
                <w:rtl/>
              </w:rPr>
              <w:t>قسم الدراسات الاستراتيجية</w:t>
            </w:r>
          </w:p>
        </w:tc>
        <w:tc>
          <w:tcPr>
            <w:tcW w:w="1283" w:type="dxa"/>
          </w:tcPr>
          <w:p w:rsidR="004A5F7D" w:rsidRPr="00BD22EC" w:rsidRDefault="004A5F7D" w:rsidP="008137BA">
            <w:pPr>
              <w:jc w:val="center"/>
              <w:rPr>
                <w:rFonts w:ascii="Simplified Arabic" w:hAnsi="Simplified Arabic" w:cs="Simplified Arabic"/>
                <w:b/>
                <w:bCs/>
                <w:rtl/>
                <w:lang w:bidi="ar-IQ"/>
              </w:rPr>
            </w:pPr>
          </w:p>
          <w:p w:rsidR="004A5F7D" w:rsidRPr="00BD22EC" w:rsidRDefault="004A5F7D" w:rsidP="008137BA">
            <w:pPr>
              <w:jc w:val="center"/>
              <w:rPr>
                <w:rFonts w:ascii="Simplified Arabic" w:hAnsi="Simplified Arabic" w:cs="Simplified Arabic"/>
                <w:b/>
                <w:bCs/>
                <w:rtl/>
                <w:lang w:bidi="ar-IQ"/>
              </w:rPr>
            </w:pPr>
          </w:p>
          <w:p w:rsidR="004A5F7D" w:rsidRPr="00BD22EC" w:rsidRDefault="004A5F7D" w:rsidP="008137BA">
            <w:pPr>
              <w:jc w:val="center"/>
              <w:rPr>
                <w:rFonts w:ascii="Simplified Arabic" w:hAnsi="Simplified Arabic" w:cs="Simplified Arabic"/>
                <w:b/>
                <w:bCs/>
                <w:rtl/>
                <w:lang w:bidi="ar-IQ"/>
              </w:rPr>
            </w:pPr>
          </w:p>
          <w:p w:rsidR="004A5F7D" w:rsidRPr="00BD22EC" w:rsidRDefault="004A5F7D" w:rsidP="008137BA">
            <w:pPr>
              <w:jc w:val="center"/>
              <w:rPr>
                <w:rFonts w:ascii="Simplified Arabic" w:hAnsi="Simplified Arabic" w:cs="Simplified Arabic"/>
                <w:b/>
                <w:bCs/>
                <w:rtl/>
                <w:lang w:bidi="ar-IQ"/>
              </w:rPr>
            </w:pPr>
          </w:p>
          <w:p w:rsidR="004A5F7D" w:rsidRPr="00BD22EC" w:rsidRDefault="004A5F7D" w:rsidP="008137BA">
            <w:pPr>
              <w:jc w:val="center"/>
              <w:rPr>
                <w:rFonts w:ascii="Simplified Arabic" w:hAnsi="Simplified Arabic" w:cs="Simplified Arabic"/>
                <w:b/>
                <w:bCs/>
                <w:rtl/>
                <w:lang w:bidi="ar-IQ"/>
              </w:rPr>
            </w:pPr>
          </w:p>
          <w:p w:rsidR="004A5F7D" w:rsidRPr="00BD22EC" w:rsidRDefault="004A5F7D" w:rsidP="008137BA">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لا يوجد</w:t>
            </w:r>
          </w:p>
        </w:tc>
        <w:tc>
          <w:tcPr>
            <w:tcW w:w="1854" w:type="dxa"/>
          </w:tcPr>
          <w:p w:rsidR="004A5F7D" w:rsidRPr="00BD22EC" w:rsidRDefault="004A5F7D" w:rsidP="008137BA">
            <w:pPr>
              <w:tabs>
                <w:tab w:val="left" w:pos="3198"/>
              </w:tabs>
              <w:rPr>
                <w:rFonts w:ascii="Simplified Arabic" w:hAnsi="Simplified Arabic" w:cs="Simplified Arabic"/>
                <w:b/>
                <w:bCs/>
                <w:rtl/>
              </w:rPr>
            </w:pPr>
          </w:p>
          <w:p w:rsidR="004A5F7D" w:rsidRPr="00BD22EC" w:rsidRDefault="004A5F7D" w:rsidP="008137BA">
            <w:pPr>
              <w:tabs>
                <w:tab w:val="left" w:pos="3198"/>
              </w:tabs>
              <w:rPr>
                <w:rFonts w:ascii="Simplified Arabic" w:hAnsi="Simplified Arabic" w:cs="Simplified Arabic"/>
                <w:b/>
                <w:bCs/>
                <w:rtl/>
              </w:rPr>
            </w:pPr>
            <w:r w:rsidRPr="00BD22EC">
              <w:rPr>
                <w:rFonts w:ascii="Simplified Arabic" w:hAnsi="Simplified Arabic" w:cs="Simplified Arabic"/>
                <w:b/>
                <w:bCs/>
                <w:rtl/>
              </w:rPr>
              <w:t>07901835985</w:t>
            </w:r>
          </w:p>
        </w:tc>
        <w:tc>
          <w:tcPr>
            <w:tcW w:w="1854" w:type="dxa"/>
          </w:tcPr>
          <w:p w:rsidR="004A5F7D" w:rsidRPr="00BD22EC" w:rsidRDefault="004A5F7D" w:rsidP="008137BA">
            <w:pPr>
              <w:tabs>
                <w:tab w:val="left" w:pos="3198"/>
              </w:tabs>
              <w:rPr>
                <w:rFonts w:ascii="Simplified Arabic" w:hAnsi="Simplified Arabic" w:cs="Simplified Arabic"/>
                <w:b/>
                <w:bCs/>
                <w:lang w:bidi="ar-IQ"/>
              </w:rPr>
            </w:pPr>
            <w:r w:rsidRPr="00BD22EC">
              <w:rPr>
                <w:rFonts w:ascii="Simplified Arabic" w:hAnsi="Simplified Arabic" w:cs="Simplified Arabic"/>
                <w:b/>
                <w:bCs/>
                <w:lang w:bidi="ar-IQ"/>
              </w:rPr>
              <w:t>Asaad.ridaa@copolicy.uodaghdad.edu.iq</w:t>
            </w:r>
          </w:p>
        </w:tc>
      </w:tr>
    </w:tbl>
    <w:p w:rsidR="00526F72" w:rsidRPr="002943EA" w:rsidRDefault="00526F72"/>
    <w:sectPr w:rsidR="00526F72" w:rsidRPr="002943EA" w:rsidSect="002943E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E0" w:rsidRDefault="00F71FE0" w:rsidP="002943EA">
      <w:pPr>
        <w:spacing w:after="0" w:line="240" w:lineRule="auto"/>
      </w:pPr>
      <w:r>
        <w:separator/>
      </w:r>
    </w:p>
  </w:endnote>
  <w:endnote w:type="continuationSeparator" w:id="1">
    <w:p w:rsidR="00F71FE0" w:rsidRDefault="00F71FE0" w:rsidP="002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E0" w:rsidRDefault="00F71FE0" w:rsidP="002943EA">
      <w:pPr>
        <w:spacing w:after="0" w:line="240" w:lineRule="auto"/>
      </w:pPr>
      <w:r>
        <w:separator/>
      </w:r>
    </w:p>
  </w:footnote>
  <w:footnote w:type="continuationSeparator" w:id="1">
    <w:p w:rsidR="00F71FE0" w:rsidRDefault="00F71FE0" w:rsidP="0029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3EA"/>
    <w:rsid w:val="00020A6A"/>
    <w:rsid w:val="00045385"/>
    <w:rsid w:val="00103A83"/>
    <w:rsid w:val="001B56C7"/>
    <w:rsid w:val="001B583D"/>
    <w:rsid w:val="001D0175"/>
    <w:rsid w:val="00204B3D"/>
    <w:rsid w:val="002943EA"/>
    <w:rsid w:val="0039024E"/>
    <w:rsid w:val="00450757"/>
    <w:rsid w:val="00474CD7"/>
    <w:rsid w:val="00486476"/>
    <w:rsid w:val="00497D72"/>
    <w:rsid w:val="004A5F7D"/>
    <w:rsid w:val="00506C2C"/>
    <w:rsid w:val="00526F72"/>
    <w:rsid w:val="00536A4C"/>
    <w:rsid w:val="0055406F"/>
    <w:rsid w:val="00567DEB"/>
    <w:rsid w:val="00635D62"/>
    <w:rsid w:val="006461B2"/>
    <w:rsid w:val="006E0EF8"/>
    <w:rsid w:val="007D0CFF"/>
    <w:rsid w:val="0085263A"/>
    <w:rsid w:val="008D0E2F"/>
    <w:rsid w:val="008E1478"/>
    <w:rsid w:val="00903065"/>
    <w:rsid w:val="009C4F4E"/>
    <w:rsid w:val="00A209F0"/>
    <w:rsid w:val="00A215ED"/>
    <w:rsid w:val="00AD24F3"/>
    <w:rsid w:val="00BE3FA0"/>
    <w:rsid w:val="00C27551"/>
    <w:rsid w:val="00C67590"/>
    <w:rsid w:val="00D12257"/>
    <w:rsid w:val="00D90658"/>
    <w:rsid w:val="00DA644F"/>
    <w:rsid w:val="00DD7BE6"/>
    <w:rsid w:val="00DE7C5F"/>
    <w:rsid w:val="00E347DE"/>
    <w:rsid w:val="00E65683"/>
    <w:rsid w:val="00EE0AB7"/>
    <w:rsid w:val="00F20B32"/>
    <w:rsid w:val="00F22617"/>
    <w:rsid w:val="00F35179"/>
    <w:rsid w:val="00F71F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43EA"/>
    <w:pPr>
      <w:tabs>
        <w:tab w:val="center" w:pos="4153"/>
        <w:tab w:val="right" w:pos="8306"/>
      </w:tabs>
      <w:spacing w:after="0" w:line="240" w:lineRule="auto"/>
    </w:pPr>
  </w:style>
  <w:style w:type="character" w:customStyle="1" w:styleId="Char">
    <w:name w:val="رأس صفحة Char"/>
    <w:basedOn w:val="a0"/>
    <w:link w:val="a4"/>
    <w:uiPriority w:val="99"/>
    <w:semiHidden/>
    <w:rsid w:val="002943EA"/>
  </w:style>
  <w:style w:type="paragraph" w:styleId="a5">
    <w:name w:val="footer"/>
    <w:basedOn w:val="a"/>
    <w:link w:val="Char0"/>
    <w:uiPriority w:val="99"/>
    <w:semiHidden/>
    <w:unhideWhenUsed/>
    <w:rsid w:val="002943EA"/>
    <w:pPr>
      <w:tabs>
        <w:tab w:val="center" w:pos="4153"/>
        <w:tab w:val="right" w:pos="8306"/>
      </w:tabs>
      <w:spacing w:after="0" w:line="240" w:lineRule="auto"/>
    </w:pPr>
  </w:style>
  <w:style w:type="character" w:customStyle="1" w:styleId="Char0">
    <w:name w:val="تذييل صفحة Char"/>
    <w:basedOn w:val="a0"/>
    <w:link w:val="a5"/>
    <w:uiPriority w:val="99"/>
    <w:semiHidden/>
    <w:rsid w:val="002943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5451-8CEF-4861-B016-80596FB5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2024-02-07T06:35:00Z</dcterms:created>
  <dcterms:modified xsi:type="dcterms:W3CDTF">2024-02-08T05:44:00Z</dcterms:modified>
</cp:coreProperties>
</file>