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ADD" w:rsidRDefault="00177ADD" w:rsidP="00177ADD">
      <w:pPr>
        <w:pStyle w:val="NormalWeb"/>
        <w:shd w:val="clear" w:color="auto" w:fill="FFFFFF"/>
        <w:spacing w:before="0" w:beforeAutospacing="0" w:after="0" w:afterAutospacing="0"/>
        <w:jc w:val="both"/>
        <w:rPr>
          <w:b/>
          <w:bCs/>
          <w:color w:val="000000"/>
          <w:sz w:val="21"/>
          <w:szCs w:val="21"/>
        </w:rPr>
      </w:pPr>
      <w:r>
        <w:rPr>
          <w:b/>
          <w:bCs/>
          <w:color w:val="000000"/>
          <w:sz w:val="21"/>
          <w:szCs w:val="21"/>
          <w:bdr w:val="none" w:sz="0" w:space="0" w:color="auto" w:frame="1"/>
          <w:rtl/>
        </w:rPr>
        <w:t>تضمنت الدراسة الجزء الأول من الدراسة تصنيع وتوصيف  للجسيمات النانوية لثاني أوكسيد التيتانيوم, البايبرين  البايبرين المحمل على ثاني أوكسيد التيتانيوم باستخدام  مستخلص مائي للبايبرين كعامل أختزال، التصنيع النباتي للحصول على المادة النانوية تم تشخيص المادة النانوية المحضرة من النبات  من خلال طريقة التحليل الطيفي للأشعة الفوق البنفسجية</w:t>
      </w:r>
      <w:r>
        <w:rPr>
          <w:b/>
          <w:bCs/>
          <w:color w:val="000000"/>
          <w:sz w:val="21"/>
          <w:szCs w:val="21"/>
          <w:bdr w:val="none" w:sz="0" w:space="0" w:color="auto" w:frame="1"/>
        </w:rPr>
        <w:t xml:space="preserve"> ((UV-VS,</w:t>
      </w:r>
      <w:r>
        <w:rPr>
          <w:b/>
          <w:bCs/>
          <w:color w:val="000000"/>
          <w:sz w:val="21"/>
          <w:szCs w:val="21"/>
          <w:bdr w:val="none" w:sz="0" w:space="0" w:color="auto" w:frame="1"/>
          <w:rtl/>
        </w:rPr>
        <w:t>تحليل الحيود للأشعة السينية</w:t>
      </w:r>
      <w:r>
        <w:rPr>
          <w:b/>
          <w:bCs/>
          <w:color w:val="000000"/>
          <w:sz w:val="21"/>
          <w:szCs w:val="21"/>
          <w:bdr w:val="none" w:sz="0" w:space="0" w:color="auto" w:frame="1"/>
        </w:rPr>
        <w:t xml:space="preserve"> XRD, </w:t>
      </w:r>
      <w:r>
        <w:rPr>
          <w:b/>
          <w:bCs/>
          <w:color w:val="000000"/>
          <w:sz w:val="21"/>
          <w:szCs w:val="21"/>
          <w:bdr w:val="none" w:sz="0" w:space="0" w:color="auto" w:frame="1"/>
          <w:rtl/>
        </w:rPr>
        <w:t>المسح المجهري الألكتروني</w:t>
      </w:r>
      <w:r>
        <w:rPr>
          <w:b/>
          <w:bCs/>
          <w:color w:val="000000"/>
          <w:sz w:val="21"/>
          <w:szCs w:val="21"/>
          <w:bdr w:val="none" w:sz="0" w:space="0" w:color="auto" w:frame="1"/>
        </w:rPr>
        <w:t xml:space="preserve"> SEM, </w:t>
      </w:r>
      <w:r>
        <w:rPr>
          <w:b/>
          <w:bCs/>
          <w:color w:val="000000"/>
          <w:sz w:val="21"/>
          <w:szCs w:val="21"/>
          <w:bdr w:val="none" w:sz="0" w:space="0" w:color="auto" w:frame="1"/>
          <w:rtl/>
        </w:rPr>
        <w:t>المجهر الألكتروني النافذ</w:t>
      </w:r>
      <w:r>
        <w:rPr>
          <w:b/>
          <w:bCs/>
          <w:color w:val="000000"/>
          <w:sz w:val="21"/>
          <w:szCs w:val="21"/>
          <w:bdr w:val="none" w:sz="0" w:space="0" w:color="auto" w:frame="1"/>
        </w:rPr>
        <w:t xml:space="preserve"> ,TEM </w:t>
      </w:r>
      <w:r>
        <w:rPr>
          <w:b/>
          <w:bCs/>
          <w:color w:val="000000"/>
          <w:sz w:val="21"/>
          <w:szCs w:val="21"/>
          <w:bdr w:val="none" w:sz="0" w:space="0" w:color="auto" w:frame="1"/>
          <w:rtl/>
        </w:rPr>
        <w:t>التحليل الطيفي بالأشعة تحت الحمراء</w:t>
      </w:r>
      <w:r>
        <w:rPr>
          <w:b/>
          <w:bCs/>
          <w:color w:val="000000"/>
          <w:sz w:val="21"/>
          <w:szCs w:val="21"/>
          <w:bdr w:val="none" w:sz="0" w:space="0" w:color="auto" w:frame="1"/>
        </w:rPr>
        <w:t xml:space="preserve"> FTIR. </w:t>
      </w:r>
      <w:r>
        <w:rPr>
          <w:b/>
          <w:bCs/>
          <w:color w:val="000000"/>
          <w:sz w:val="21"/>
          <w:szCs w:val="21"/>
          <w:bdr w:val="none" w:sz="0" w:space="0" w:color="auto" w:frame="1"/>
          <w:rtl/>
        </w:rPr>
        <w:t>، أظهرت النتائج أن جزيئات ثاني أكسيد التيتانيوم النانوية تبدو صفراء اللون. تم استخدام التحليل الطيفي للأشعة المرئية وفوق البنفسجية مع شريط عند 359 نانومتر من  رنين البلازمون السطحي المكثف لشرح اكتمال التفاعل بين</w:t>
      </w:r>
      <w:r>
        <w:rPr>
          <w:b/>
          <w:bCs/>
          <w:color w:val="000000"/>
          <w:sz w:val="21"/>
          <w:szCs w:val="21"/>
          <w:bdr w:val="none" w:sz="0" w:space="0" w:color="auto" w:frame="1"/>
        </w:rPr>
        <w:t xml:space="preserve"> PIP-TiO2NPs. </w:t>
      </w:r>
      <w:r>
        <w:rPr>
          <w:b/>
          <w:bCs/>
          <w:color w:val="000000"/>
          <w:sz w:val="21"/>
          <w:szCs w:val="21"/>
          <w:bdr w:val="none" w:sz="0" w:space="0" w:color="auto" w:frame="1"/>
          <w:rtl/>
        </w:rPr>
        <w:t>تم التأكد من حجم  والشكل التركيبي  للمركب</w:t>
      </w:r>
      <w:r>
        <w:rPr>
          <w:b/>
          <w:bCs/>
          <w:color w:val="000000"/>
          <w:sz w:val="21"/>
          <w:szCs w:val="21"/>
          <w:bdr w:val="none" w:sz="0" w:space="0" w:color="auto" w:frame="1"/>
        </w:rPr>
        <w:t xml:space="preserve"> PIP-TiO2NPs </w:t>
      </w:r>
      <w:r>
        <w:rPr>
          <w:b/>
          <w:bCs/>
          <w:color w:val="000000"/>
          <w:sz w:val="21"/>
          <w:szCs w:val="21"/>
          <w:bdr w:val="none" w:sz="0" w:space="0" w:color="auto" w:frame="1"/>
          <w:rtl/>
        </w:rPr>
        <w:t>بواسطة</w:t>
      </w:r>
      <w:r>
        <w:rPr>
          <w:b/>
          <w:bCs/>
          <w:color w:val="000000"/>
          <w:sz w:val="21"/>
          <w:szCs w:val="21"/>
          <w:bdr w:val="none" w:sz="0" w:space="0" w:color="auto" w:frame="1"/>
        </w:rPr>
        <w:t xml:space="preserve"> SEM </w:t>
      </w:r>
      <w:r>
        <w:rPr>
          <w:b/>
          <w:bCs/>
          <w:color w:val="000000"/>
          <w:sz w:val="21"/>
          <w:szCs w:val="21"/>
          <w:bdr w:val="none" w:sz="0" w:space="0" w:color="auto" w:frame="1"/>
          <w:rtl/>
        </w:rPr>
        <w:t>و</w:t>
      </w:r>
      <w:r>
        <w:rPr>
          <w:b/>
          <w:bCs/>
          <w:color w:val="000000"/>
          <w:sz w:val="21"/>
          <w:szCs w:val="21"/>
          <w:bdr w:val="none" w:sz="0" w:space="0" w:color="auto" w:frame="1"/>
        </w:rPr>
        <w:t xml:space="preserve"> TEM.</w:t>
      </w:r>
      <w:r>
        <w:rPr>
          <w:b/>
          <w:bCs/>
          <w:color w:val="000000"/>
          <w:sz w:val="21"/>
          <w:szCs w:val="21"/>
          <w:bdr w:val="none" w:sz="0" w:space="0" w:color="auto" w:frame="1"/>
          <w:rtl/>
        </w:rPr>
        <w:t>والتي  كشفت عن وجود بلورات التيتانيوم النانوية الكروية ، وأظهرت نتائج</w:t>
      </w:r>
      <w:r>
        <w:rPr>
          <w:b/>
          <w:bCs/>
          <w:color w:val="000000"/>
          <w:sz w:val="21"/>
          <w:szCs w:val="21"/>
          <w:bdr w:val="none" w:sz="0" w:space="0" w:color="auto" w:frame="1"/>
        </w:rPr>
        <w:t xml:space="preserve"> EDX </w:t>
      </w:r>
      <w:r>
        <w:rPr>
          <w:b/>
          <w:bCs/>
          <w:color w:val="000000"/>
          <w:sz w:val="21"/>
          <w:szCs w:val="21"/>
          <w:bdr w:val="none" w:sz="0" w:space="0" w:color="auto" w:frame="1"/>
          <w:rtl/>
        </w:rPr>
        <w:t>نقاء استثنائي للجسيمات النانوية. وفقًا لـ</w:t>
      </w:r>
      <w:r>
        <w:rPr>
          <w:b/>
          <w:bCs/>
          <w:color w:val="000000"/>
          <w:sz w:val="21"/>
          <w:szCs w:val="21"/>
          <w:bdr w:val="none" w:sz="0" w:space="0" w:color="auto" w:frame="1"/>
        </w:rPr>
        <w:t xml:space="preserve"> XRD </w:t>
      </w:r>
      <w:r>
        <w:rPr>
          <w:b/>
          <w:bCs/>
          <w:color w:val="000000"/>
          <w:sz w:val="21"/>
          <w:szCs w:val="21"/>
          <w:bdr w:val="none" w:sz="0" w:space="0" w:color="auto" w:frame="1"/>
          <w:rtl/>
        </w:rPr>
        <w:t>عند 2</w:t>
      </w:r>
      <w:r>
        <w:rPr>
          <w:b/>
          <w:bCs/>
          <w:color w:val="000000"/>
          <w:sz w:val="21"/>
          <w:szCs w:val="21"/>
          <w:bdr w:val="none" w:sz="0" w:space="0" w:color="auto" w:frame="1"/>
        </w:rPr>
        <w:t xml:space="preserve">θ </w:t>
      </w:r>
      <w:r>
        <w:rPr>
          <w:b/>
          <w:bCs/>
          <w:color w:val="000000"/>
          <w:sz w:val="21"/>
          <w:szCs w:val="21"/>
          <w:bdr w:val="none" w:sz="0" w:space="0" w:color="auto" w:frame="1"/>
          <w:rtl/>
        </w:rPr>
        <w:t>، متوسط حجم جزيئات ثاني أكسيد التيتانيوم النانوية المتولدة بين (20-80 درجة) ، المجموعة الوظيفية للمركبات النباتية</w:t>
      </w:r>
      <w:r>
        <w:rPr>
          <w:b/>
          <w:bCs/>
          <w:color w:val="000000"/>
          <w:sz w:val="21"/>
          <w:szCs w:val="21"/>
          <w:bdr w:val="none" w:sz="0" w:space="0" w:color="auto" w:frame="1"/>
        </w:rPr>
        <w:t xml:space="preserve"> (OH: NH </w:t>
      </w:r>
      <w:r>
        <w:rPr>
          <w:b/>
          <w:bCs/>
          <w:color w:val="000000"/>
          <w:sz w:val="21"/>
          <w:szCs w:val="21"/>
          <w:bdr w:val="none" w:sz="0" w:space="0" w:color="auto" w:frame="1"/>
          <w:rtl/>
        </w:rPr>
        <w:t xml:space="preserve">، </w:t>
      </w:r>
      <w:r>
        <w:rPr>
          <w:b/>
          <w:bCs/>
          <w:color w:val="000000"/>
          <w:sz w:val="21"/>
          <w:szCs w:val="21"/>
          <w:bdr w:val="none" w:sz="0" w:space="0" w:color="auto" w:frame="1"/>
        </w:rPr>
        <w:t xml:space="preserve">C-H </w:t>
      </w:r>
      <w:r>
        <w:rPr>
          <w:b/>
          <w:bCs/>
          <w:color w:val="000000"/>
          <w:sz w:val="21"/>
          <w:szCs w:val="21"/>
          <w:bdr w:val="none" w:sz="0" w:space="0" w:color="auto" w:frame="1"/>
          <w:rtl/>
        </w:rPr>
        <w:t xml:space="preserve">، </w:t>
      </w:r>
      <w:r>
        <w:rPr>
          <w:b/>
          <w:bCs/>
          <w:color w:val="000000"/>
          <w:sz w:val="21"/>
          <w:szCs w:val="21"/>
          <w:bdr w:val="none" w:sz="0" w:space="0" w:color="auto" w:frame="1"/>
        </w:rPr>
        <w:t>CH2</w:t>
      </w:r>
      <w:r>
        <w:rPr>
          <w:b/>
          <w:bCs/>
          <w:color w:val="000000"/>
          <w:sz w:val="21"/>
          <w:szCs w:val="21"/>
          <w:bdr w:val="none" w:sz="0" w:space="0" w:color="auto" w:frame="1"/>
          <w:rtl/>
        </w:rPr>
        <w:t xml:space="preserve"> ، </w:t>
      </w:r>
      <w:r>
        <w:rPr>
          <w:b/>
          <w:bCs/>
          <w:color w:val="000000"/>
          <w:sz w:val="21"/>
          <w:szCs w:val="21"/>
          <w:bdr w:val="none" w:sz="0" w:space="0" w:color="auto" w:frame="1"/>
        </w:rPr>
        <w:t>NH2</w:t>
      </w:r>
      <w:r>
        <w:rPr>
          <w:b/>
          <w:bCs/>
          <w:color w:val="000000"/>
          <w:sz w:val="21"/>
          <w:szCs w:val="21"/>
          <w:bdr w:val="none" w:sz="0" w:space="0" w:color="auto" w:frame="1"/>
          <w:rtl/>
        </w:rPr>
        <w:t xml:space="preserve"> ، </w:t>
      </w:r>
      <w:r>
        <w:rPr>
          <w:b/>
          <w:bCs/>
          <w:color w:val="000000"/>
          <w:sz w:val="21"/>
          <w:szCs w:val="21"/>
          <w:bdr w:val="none" w:sz="0" w:space="0" w:color="auto" w:frame="1"/>
        </w:rPr>
        <w:t xml:space="preserve">NH </w:t>
      </w:r>
      <w:r>
        <w:rPr>
          <w:b/>
          <w:bCs/>
          <w:color w:val="000000"/>
          <w:sz w:val="21"/>
          <w:szCs w:val="21"/>
          <w:bdr w:val="none" w:sz="0" w:space="0" w:color="auto" w:frame="1"/>
          <w:rtl/>
        </w:rPr>
        <w:t xml:space="preserve">، </w:t>
      </w:r>
      <w:r>
        <w:rPr>
          <w:b/>
          <w:bCs/>
          <w:color w:val="000000"/>
          <w:sz w:val="21"/>
          <w:szCs w:val="21"/>
          <w:bdr w:val="none" w:sz="0" w:space="0" w:color="auto" w:frame="1"/>
        </w:rPr>
        <w:t xml:space="preserve">C-O </w:t>
      </w:r>
      <w:r>
        <w:rPr>
          <w:b/>
          <w:bCs/>
          <w:color w:val="000000"/>
          <w:sz w:val="21"/>
          <w:szCs w:val="21"/>
          <w:bdr w:val="none" w:sz="0" w:space="0" w:color="auto" w:frame="1"/>
          <w:rtl/>
        </w:rPr>
        <w:t xml:space="preserve">، </w:t>
      </w:r>
      <w:r>
        <w:rPr>
          <w:b/>
          <w:bCs/>
          <w:color w:val="000000"/>
          <w:sz w:val="21"/>
          <w:szCs w:val="21"/>
          <w:bdr w:val="none" w:sz="0" w:space="0" w:color="auto" w:frame="1"/>
        </w:rPr>
        <w:t xml:space="preserve">C-C </w:t>
      </w:r>
      <w:r>
        <w:rPr>
          <w:b/>
          <w:bCs/>
          <w:color w:val="000000"/>
          <w:sz w:val="21"/>
          <w:szCs w:val="21"/>
          <w:bdr w:val="none" w:sz="0" w:space="0" w:color="auto" w:frame="1"/>
          <w:rtl/>
        </w:rPr>
        <w:t xml:space="preserve">، </w:t>
      </w:r>
      <w:r>
        <w:rPr>
          <w:b/>
          <w:bCs/>
          <w:color w:val="000000"/>
          <w:sz w:val="21"/>
          <w:szCs w:val="21"/>
          <w:bdr w:val="none" w:sz="0" w:space="0" w:color="auto" w:frame="1"/>
        </w:rPr>
        <w:t xml:space="preserve">C-O-H </w:t>
      </w:r>
      <w:r>
        <w:rPr>
          <w:b/>
          <w:bCs/>
          <w:color w:val="000000"/>
          <w:sz w:val="21"/>
          <w:szCs w:val="21"/>
          <w:bdr w:val="none" w:sz="0" w:space="0" w:color="auto" w:frame="1"/>
          <w:rtl/>
        </w:rPr>
        <w:t xml:space="preserve">، </w:t>
      </w:r>
      <w:r>
        <w:rPr>
          <w:b/>
          <w:bCs/>
          <w:color w:val="000000"/>
          <w:sz w:val="21"/>
          <w:szCs w:val="21"/>
          <w:bdr w:val="none" w:sz="0" w:space="0" w:color="auto" w:frame="1"/>
        </w:rPr>
        <w:t xml:space="preserve">C-O-C </w:t>
      </w:r>
      <w:r>
        <w:rPr>
          <w:b/>
          <w:bCs/>
          <w:color w:val="000000"/>
          <w:sz w:val="21"/>
          <w:szCs w:val="21"/>
          <w:bdr w:val="none" w:sz="0" w:space="0" w:color="auto" w:frame="1"/>
          <w:rtl/>
        </w:rPr>
        <w:t xml:space="preserve">، </w:t>
      </w:r>
      <w:r>
        <w:rPr>
          <w:b/>
          <w:bCs/>
          <w:color w:val="000000"/>
          <w:sz w:val="21"/>
          <w:szCs w:val="21"/>
          <w:bdr w:val="none" w:sz="0" w:space="0" w:color="auto" w:frame="1"/>
        </w:rPr>
        <w:t xml:space="preserve">C-X </w:t>
      </w:r>
      <w:r>
        <w:rPr>
          <w:b/>
          <w:bCs/>
          <w:color w:val="000000"/>
          <w:sz w:val="21"/>
          <w:szCs w:val="21"/>
          <w:bdr w:val="none" w:sz="0" w:space="0" w:color="auto" w:frame="1"/>
          <w:rtl/>
        </w:rPr>
        <w:t>، تم العثور على</w:t>
      </w:r>
      <w:r>
        <w:rPr>
          <w:b/>
          <w:bCs/>
          <w:color w:val="000000"/>
          <w:sz w:val="21"/>
          <w:szCs w:val="21"/>
          <w:bdr w:val="none" w:sz="0" w:space="0" w:color="auto" w:frame="1"/>
        </w:rPr>
        <w:t xml:space="preserve"> C-N-C) </w:t>
      </w:r>
      <w:r>
        <w:rPr>
          <w:b/>
          <w:bCs/>
          <w:color w:val="000000"/>
          <w:sz w:val="21"/>
          <w:szCs w:val="21"/>
          <w:bdr w:val="none" w:sz="0" w:space="0" w:color="auto" w:frame="1"/>
          <w:rtl/>
        </w:rPr>
        <w:t>التي تعمل كعامل اختزال واستقرار مغلفة على جزيئات ثاني أكسيد التيتانيوم النانوية ، وفقًا لتحليل</w:t>
      </w:r>
      <w:r>
        <w:rPr>
          <w:b/>
          <w:bCs/>
          <w:color w:val="000000"/>
          <w:sz w:val="21"/>
          <w:szCs w:val="21"/>
          <w:bdr w:val="none" w:sz="0" w:space="0" w:color="auto" w:frame="1"/>
        </w:rPr>
        <w:t xml:space="preserve"> FTIR. </w:t>
      </w:r>
      <w:r>
        <w:rPr>
          <w:b/>
          <w:bCs/>
          <w:color w:val="000000"/>
          <w:sz w:val="21"/>
          <w:szCs w:val="21"/>
          <w:bdr w:val="none" w:sz="0" w:space="0" w:color="auto" w:frame="1"/>
          <w:rtl/>
        </w:rPr>
        <w:t>يمكن الاعتقاد أن مجموعة الكربوكسيل لعبت دورًا في الاستقرار بينهما. يبحث القسم الثاني من البحث في الجرعات الفعالة من</w:t>
      </w:r>
      <w:r>
        <w:rPr>
          <w:b/>
          <w:bCs/>
          <w:color w:val="000000"/>
          <w:sz w:val="21"/>
          <w:szCs w:val="21"/>
          <w:bdr w:val="none" w:sz="0" w:space="0" w:color="auto" w:frame="1"/>
        </w:rPr>
        <w:t xml:space="preserve"> PIP-TiO2NPS </w:t>
      </w:r>
      <w:r>
        <w:rPr>
          <w:b/>
          <w:bCs/>
          <w:color w:val="000000"/>
          <w:sz w:val="21"/>
          <w:szCs w:val="21"/>
          <w:bdr w:val="none" w:sz="0" w:space="0" w:color="auto" w:frame="1"/>
          <w:rtl/>
        </w:rPr>
        <w:t>والتي كانت تساوي 75 مجم / كجم من وزن الجسم</w:t>
      </w:r>
      <w:r>
        <w:rPr>
          <w:b/>
          <w:bCs/>
          <w:color w:val="000000"/>
          <w:sz w:val="21"/>
          <w:szCs w:val="21"/>
          <w:bdr w:val="none" w:sz="0" w:space="0" w:color="auto" w:frame="1"/>
        </w:rPr>
        <w:t xml:space="preserve"> .</w:t>
      </w:r>
    </w:p>
    <w:p w:rsidR="00177ADD" w:rsidRDefault="00177ADD" w:rsidP="00177ADD">
      <w:pPr>
        <w:pStyle w:val="NormalWeb"/>
        <w:shd w:val="clear" w:color="auto" w:fill="FFFFFF"/>
        <w:spacing w:before="0" w:beforeAutospacing="0" w:after="0" w:afterAutospacing="0"/>
        <w:jc w:val="both"/>
        <w:rPr>
          <w:b/>
          <w:bCs/>
          <w:color w:val="000000"/>
          <w:sz w:val="21"/>
          <w:szCs w:val="21"/>
        </w:rPr>
      </w:pPr>
      <w:r>
        <w:rPr>
          <w:b/>
          <w:bCs/>
          <w:color w:val="000000"/>
          <w:sz w:val="21"/>
          <w:szCs w:val="21"/>
          <w:bdr w:val="none" w:sz="0" w:space="0" w:color="auto" w:frame="1"/>
          <w:rtl/>
        </w:rPr>
        <w:t>أظهرت الدراسة ارتفاعًا كبيرًا في تراكيز</w:t>
      </w:r>
      <w:r>
        <w:rPr>
          <w:b/>
          <w:bCs/>
          <w:color w:val="000000"/>
          <w:sz w:val="21"/>
          <w:szCs w:val="21"/>
          <w:bdr w:val="none" w:sz="0" w:space="0" w:color="auto" w:frame="1"/>
        </w:rPr>
        <w:t xml:space="preserve"> TC </w:t>
      </w:r>
      <w:r>
        <w:rPr>
          <w:b/>
          <w:bCs/>
          <w:color w:val="000000"/>
          <w:sz w:val="21"/>
          <w:szCs w:val="21"/>
          <w:bdr w:val="none" w:sz="0" w:space="0" w:color="auto" w:frame="1"/>
          <w:rtl/>
        </w:rPr>
        <w:t>و</w:t>
      </w:r>
      <w:r>
        <w:rPr>
          <w:b/>
          <w:bCs/>
          <w:color w:val="000000"/>
          <w:sz w:val="21"/>
          <w:szCs w:val="21"/>
          <w:bdr w:val="none" w:sz="0" w:space="0" w:color="auto" w:frame="1"/>
        </w:rPr>
        <w:t xml:space="preserve"> TAG </w:t>
      </w:r>
      <w:r>
        <w:rPr>
          <w:b/>
          <w:bCs/>
          <w:color w:val="000000"/>
          <w:sz w:val="21"/>
          <w:szCs w:val="21"/>
          <w:bdr w:val="none" w:sz="0" w:space="0" w:color="auto" w:frame="1"/>
          <w:rtl/>
        </w:rPr>
        <w:t>و</w:t>
      </w:r>
      <w:r>
        <w:rPr>
          <w:b/>
          <w:bCs/>
          <w:color w:val="000000"/>
          <w:sz w:val="21"/>
          <w:szCs w:val="21"/>
          <w:bdr w:val="none" w:sz="0" w:space="0" w:color="auto" w:frame="1"/>
        </w:rPr>
        <w:t xml:space="preserve"> VLDL-C </w:t>
      </w:r>
      <w:r>
        <w:rPr>
          <w:b/>
          <w:bCs/>
          <w:color w:val="000000"/>
          <w:sz w:val="21"/>
          <w:szCs w:val="21"/>
          <w:bdr w:val="none" w:sz="0" w:space="0" w:color="auto" w:frame="1"/>
          <w:rtl/>
        </w:rPr>
        <w:t>و</w:t>
      </w:r>
      <w:r>
        <w:rPr>
          <w:b/>
          <w:bCs/>
          <w:color w:val="000000"/>
          <w:sz w:val="21"/>
          <w:szCs w:val="21"/>
          <w:bdr w:val="none" w:sz="0" w:space="0" w:color="auto" w:frame="1"/>
        </w:rPr>
        <w:t xml:space="preserve"> LDL-C </w:t>
      </w:r>
      <w:r>
        <w:rPr>
          <w:b/>
          <w:bCs/>
          <w:color w:val="000000"/>
          <w:sz w:val="21"/>
          <w:szCs w:val="21"/>
          <w:bdr w:val="none" w:sz="0" w:space="0" w:color="auto" w:frame="1"/>
          <w:rtl/>
        </w:rPr>
        <w:t>في الدم إلى جانب انخفاض كبير في تركيزات</w:t>
      </w:r>
      <w:r>
        <w:rPr>
          <w:b/>
          <w:bCs/>
          <w:color w:val="000000"/>
          <w:sz w:val="21"/>
          <w:szCs w:val="21"/>
          <w:bdr w:val="none" w:sz="0" w:space="0" w:color="auto" w:frame="1"/>
        </w:rPr>
        <w:t xml:space="preserve"> HDL-c </w:t>
      </w:r>
      <w:r>
        <w:rPr>
          <w:b/>
          <w:bCs/>
          <w:color w:val="000000"/>
          <w:sz w:val="21"/>
          <w:szCs w:val="21"/>
          <w:bdr w:val="none" w:sz="0" w:space="0" w:color="auto" w:frame="1"/>
          <w:rtl/>
        </w:rPr>
        <w:t>في الدم. بالإضافة إلى ذلك ، أظهر ارتفاع كبير في تركيز خميرة</w:t>
      </w:r>
      <w:r>
        <w:rPr>
          <w:b/>
          <w:bCs/>
          <w:color w:val="000000"/>
          <w:sz w:val="21"/>
          <w:szCs w:val="21"/>
          <w:bdr w:val="none" w:sz="0" w:space="0" w:color="auto" w:frame="1"/>
        </w:rPr>
        <w:t xml:space="preserve"> ALT </w:t>
      </w:r>
      <w:r>
        <w:rPr>
          <w:b/>
          <w:bCs/>
          <w:color w:val="000000"/>
          <w:sz w:val="21"/>
          <w:szCs w:val="21"/>
          <w:bdr w:val="none" w:sz="0" w:space="0" w:color="auto" w:frame="1"/>
          <w:rtl/>
        </w:rPr>
        <w:t>و</w:t>
      </w:r>
      <w:r>
        <w:rPr>
          <w:b/>
          <w:bCs/>
          <w:color w:val="000000"/>
          <w:sz w:val="21"/>
          <w:szCs w:val="21"/>
          <w:bdr w:val="none" w:sz="0" w:space="0" w:color="auto" w:frame="1"/>
        </w:rPr>
        <w:t xml:space="preserve"> GGT </w:t>
      </w:r>
      <w:r>
        <w:rPr>
          <w:b/>
          <w:bCs/>
          <w:color w:val="000000"/>
          <w:sz w:val="21"/>
          <w:szCs w:val="21"/>
          <w:bdr w:val="none" w:sz="0" w:space="0" w:color="auto" w:frame="1"/>
          <w:rtl/>
        </w:rPr>
        <w:t>في الدم . فيما يخص نتائج السمية الخلوية ، أظهرت مجموعة</w:t>
      </w:r>
      <w:r>
        <w:rPr>
          <w:b/>
          <w:bCs/>
          <w:color w:val="000000"/>
          <w:sz w:val="21"/>
          <w:szCs w:val="21"/>
          <w:bdr w:val="none" w:sz="0" w:space="0" w:color="auto" w:frame="1"/>
        </w:rPr>
        <w:t xml:space="preserve"> TiO2NPs (G2) </w:t>
      </w:r>
      <w:r>
        <w:rPr>
          <w:b/>
          <w:bCs/>
          <w:color w:val="000000"/>
          <w:sz w:val="21"/>
          <w:szCs w:val="21"/>
          <w:bdr w:val="none" w:sz="0" w:space="0" w:color="auto" w:frame="1"/>
          <w:rtl/>
        </w:rPr>
        <w:t>انخفاضًا كبيرًا في مؤشر الانقسام وزيادة في الانحراف الكروموسومي مقارنة مع</w:t>
      </w:r>
      <w:r>
        <w:rPr>
          <w:b/>
          <w:bCs/>
          <w:color w:val="000000"/>
          <w:sz w:val="21"/>
          <w:szCs w:val="21"/>
          <w:bdr w:val="none" w:sz="0" w:space="0" w:color="auto" w:frame="1"/>
        </w:rPr>
        <w:t xml:space="preserve">  </w:t>
      </w:r>
      <w:proofErr w:type="spellStart"/>
      <w:r>
        <w:rPr>
          <w:b/>
          <w:bCs/>
          <w:color w:val="000000"/>
          <w:sz w:val="21"/>
          <w:szCs w:val="21"/>
          <w:bdr w:val="none" w:sz="0" w:space="0" w:color="auto" w:frame="1"/>
        </w:rPr>
        <w:t>Piperine</w:t>
      </w:r>
      <w:proofErr w:type="spellEnd"/>
      <w:r>
        <w:rPr>
          <w:b/>
          <w:bCs/>
          <w:color w:val="000000"/>
          <w:sz w:val="21"/>
          <w:szCs w:val="21"/>
          <w:bdr w:val="none" w:sz="0" w:space="0" w:color="auto" w:frame="1"/>
        </w:rPr>
        <w:t xml:space="preserve"> (G1) </w:t>
      </w:r>
      <w:r>
        <w:rPr>
          <w:b/>
          <w:bCs/>
          <w:color w:val="000000"/>
          <w:sz w:val="21"/>
          <w:szCs w:val="21"/>
          <w:bdr w:val="none" w:sz="0" w:space="0" w:color="auto" w:frame="1"/>
          <w:rtl/>
        </w:rPr>
        <w:t>ومجاميع المعالجة الأخرى. تزامن مع هذه التغيرات الوظيفية حدوث تغيرات  نسجية مرضية في خلايا الكبد في مجموعة</w:t>
      </w:r>
      <w:r>
        <w:rPr>
          <w:b/>
          <w:bCs/>
          <w:color w:val="000000"/>
          <w:sz w:val="21"/>
          <w:szCs w:val="21"/>
          <w:bdr w:val="none" w:sz="0" w:space="0" w:color="auto" w:frame="1"/>
        </w:rPr>
        <w:t xml:space="preserve"> TiO2NPS </w:t>
      </w:r>
      <w:r>
        <w:rPr>
          <w:b/>
          <w:bCs/>
          <w:color w:val="000000"/>
          <w:sz w:val="21"/>
          <w:szCs w:val="21"/>
          <w:bdr w:val="none" w:sz="0" w:space="0" w:color="auto" w:frame="1"/>
          <w:rtl/>
        </w:rPr>
        <w:t>وأشارت إلى تنكس مائي شديد ومنتشر مع نخر، من ناحية أخرى  نتج عن معالجة</w:t>
      </w:r>
      <w:r>
        <w:rPr>
          <w:b/>
          <w:bCs/>
          <w:color w:val="000000"/>
          <w:sz w:val="21"/>
          <w:szCs w:val="21"/>
          <w:bdr w:val="none" w:sz="0" w:space="0" w:color="auto" w:frame="1"/>
        </w:rPr>
        <w:t xml:space="preserve"> PIP </w:t>
      </w:r>
      <w:r>
        <w:rPr>
          <w:b/>
          <w:bCs/>
          <w:color w:val="000000"/>
          <w:sz w:val="21"/>
          <w:szCs w:val="21"/>
          <w:bdr w:val="none" w:sz="0" w:space="0" w:color="auto" w:frame="1"/>
          <w:rtl/>
        </w:rPr>
        <w:t>أو</w:t>
      </w:r>
      <w:r>
        <w:rPr>
          <w:b/>
          <w:bCs/>
          <w:color w:val="000000"/>
          <w:sz w:val="21"/>
          <w:szCs w:val="21"/>
          <w:bdr w:val="none" w:sz="0" w:space="0" w:color="auto" w:frame="1"/>
        </w:rPr>
        <w:t xml:space="preserve"> PIP-TiO2NPs </w:t>
      </w:r>
      <w:r>
        <w:rPr>
          <w:b/>
          <w:bCs/>
          <w:color w:val="000000"/>
          <w:sz w:val="21"/>
          <w:szCs w:val="21"/>
          <w:bdr w:val="none" w:sz="0" w:space="0" w:color="auto" w:frame="1"/>
          <w:rtl/>
        </w:rPr>
        <w:t>التخفيف من التأثيرات الضارة لـ</w:t>
      </w:r>
      <w:r>
        <w:rPr>
          <w:b/>
          <w:bCs/>
          <w:color w:val="000000"/>
          <w:sz w:val="21"/>
          <w:szCs w:val="21"/>
          <w:bdr w:val="none" w:sz="0" w:space="0" w:color="auto" w:frame="1"/>
        </w:rPr>
        <w:t xml:space="preserve"> TiO2NPs.</w:t>
      </w:r>
    </w:p>
    <w:p w:rsidR="00177ADD" w:rsidRDefault="00177ADD" w:rsidP="00177ADD">
      <w:pPr>
        <w:pStyle w:val="NormalWeb"/>
        <w:shd w:val="clear" w:color="auto" w:fill="FFFFFF"/>
        <w:spacing w:before="0" w:beforeAutospacing="0" w:after="0" w:afterAutospacing="0"/>
        <w:jc w:val="both"/>
        <w:rPr>
          <w:b/>
          <w:bCs/>
          <w:color w:val="000000"/>
          <w:sz w:val="21"/>
          <w:szCs w:val="21"/>
        </w:rPr>
      </w:pPr>
      <w:r>
        <w:rPr>
          <w:b/>
          <w:bCs/>
          <w:color w:val="000000"/>
          <w:sz w:val="21"/>
          <w:szCs w:val="21"/>
          <w:bdr w:val="none" w:sz="0" w:space="0" w:color="auto" w:frame="1"/>
        </w:rPr>
        <w:t> </w:t>
      </w:r>
      <w:r>
        <w:rPr>
          <w:b/>
          <w:bCs/>
          <w:color w:val="000000"/>
          <w:sz w:val="21"/>
          <w:szCs w:val="21"/>
          <w:bdr w:val="none" w:sz="0" w:space="0" w:color="auto" w:frame="1"/>
          <w:rtl/>
        </w:rPr>
        <w:t>أوضحت الدراسة التأثيرات الضارة لل</w:t>
      </w:r>
      <w:r>
        <w:rPr>
          <w:b/>
          <w:bCs/>
          <w:color w:val="000000"/>
          <w:sz w:val="21"/>
          <w:szCs w:val="21"/>
          <w:bdr w:val="none" w:sz="0" w:space="0" w:color="auto" w:frame="1"/>
        </w:rPr>
        <w:t xml:space="preserve"> TiO2NPs </w:t>
      </w:r>
      <w:r>
        <w:rPr>
          <w:b/>
          <w:bCs/>
          <w:color w:val="000000"/>
          <w:sz w:val="21"/>
          <w:szCs w:val="21"/>
          <w:bdr w:val="none" w:sz="0" w:space="0" w:color="auto" w:frame="1"/>
          <w:rtl/>
        </w:rPr>
        <w:t>وتفوق البيبيرين على</w:t>
      </w:r>
      <w:r>
        <w:rPr>
          <w:b/>
          <w:bCs/>
          <w:color w:val="000000"/>
          <w:sz w:val="21"/>
          <w:szCs w:val="21"/>
          <w:bdr w:val="none" w:sz="0" w:space="0" w:color="auto" w:frame="1"/>
        </w:rPr>
        <w:t xml:space="preserve"> PIP-TiO2NPs </w:t>
      </w:r>
      <w:r>
        <w:rPr>
          <w:b/>
          <w:bCs/>
          <w:color w:val="000000"/>
          <w:sz w:val="21"/>
          <w:szCs w:val="21"/>
          <w:bdr w:val="none" w:sz="0" w:space="0" w:color="auto" w:frame="1"/>
          <w:rtl/>
        </w:rPr>
        <w:t>في عكس هذه التأثيرات من خلال  خصائصه المضادة للأكسدة والخافضة لشحميات الدم والتأثير الوقائي للكبد والتغيرات الجينية</w:t>
      </w:r>
      <w:r>
        <w:rPr>
          <w:b/>
          <w:bCs/>
          <w:color w:val="000000"/>
          <w:sz w:val="21"/>
          <w:szCs w:val="21"/>
          <w:bdr w:val="none" w:sz="0" w:space="0" w:color="auto" w:frame="1"/>
        </w:rPr>
        <w:t> </w:t>
      </w:r>
    </w:p>
    <w:p w:rsidR="00A04092" w:rsidRDefault="00A04092">
      <w:bookmarkStart w:id="0" w:name="_GoBack"/>
      <w:bookmarkEnd w:id="0"/>
    </w:p>
    <w:sectPr w:rsidR="00A040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D3"/>
    <w:rsid w:val="00080FD3"/>
    <w:rsid w:val="00177ADD"/>
    <w:rsid w:val="00A040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7E6D7-3754-44E5-A65C-B5AEDA8A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A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51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Company>SACC</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2</cp:revision>
  <dcterms:created xsi:type="dcterms:W3CDTF">2023-12-28T21:27:00Z</dcterms:created>
  <dcterms:modified xsi:type="dcterms:W3CDTF">2023-12-28T21:27:00Z</dcterms:modified>
</cp:coreProperties>
</file>