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89" w:rsidRDefault="00E46189" w:rsidP="00E46189">
      <w:pPr>
        <w:pStyle w:val="NormalWeb"/>
        <w:shd w:val="clear" w:color="auto" w:fill="FFFFFF"/>
        <w:spacing w:before="0" w:beforeAutospacing="0" w:after="0" w:afterAutospacing="0"/>
        <w:jc w:val="both"/>
        <w:rPr>
          <w:b/>
          <w:bCs/>
          <w:color w:val="000000"/>
          <w:sz w:val="21"/>
          <w:szCs w:val="21"/>
        </w:rPr>
      </w:pPr>
      <w:r>
        <w:rPr>
          <w:rStyle w:val="Strong"/>
          <w:color w:val="000000"/>
          <w:sz w:val="21"/>
          <w:szCs w:val="21"/>
          <w:bdr w:val="none" w:sz="0" w:space="0" w:color="auto" w:frame="1"/>
          <w:rtl/>
        </w:rPr>
        <w:t>هدفت الدراسة الى التحقق من التأثير السمية المرضي لكلوريد الكادميوم وحمض الإيلاجيك كمضاد للأكسدة على الجهاز التناسلي لذكور الجرذان البيضاء البالغة</w:t>
      </w:r>
      <w:r>
        <w:rPr>
          <w:rStyle w:val="Strong"/>
          <w:color w:val="000000"/>
          <w:sz w:val="21"/>
          <w:szCs w:val="21"/>
          <w:bdr w:val="none" w:sz="0" w:space="0" w:color="auto" w:frame="1"/>
        </w:rPr>
        <w:t>. </w:t>
      </w:r>
      <w:r>
        <w:rPr>
          <w:rStyle w:val="Strong"/>
          <w:color w:val="000000"/>
          <w:sz w:val="21"/>
          <w:szCs w:val="21"/>
          <w:bdr w:val="none" w:sz="0" w:space="0" w:color="auto" w:frame="1"/>
          <w:rtl/>
        </w:rPr>
        <w:t>تضمنت الدراسة عددًا إجماليًا من ستين (60) جرذًا ذكرًا من فئة البينو ويستار يتراوح وزنها بين (180-220) غم  واعمارهم تتراوح بين (10-14) أسبوعًا. تم تقسيمها إلى أربع مجموعات متساوية تم تجريعها يوميا فمويا لمدة ستة أسابيع على النحو التالي: 100 ملغ </w:t>
      </w:r>
      <w:r>
        <w:rPr>
          <w:rStyle w:val="Strong"/>
          <w:color w:val="000000"/>
          <w:sz w:val="21"/>
          <w:szCs w:val="21"/>
          <w:bdr w:val="none" w:sz="0" w:space="0" w:color="auto" w:frame="1"/>
        </w:rPr>
        <w:t>EA </w:t>
      </w:r>
      <w:r>
        <w:rPr>
          <w:rStyle w:val="Strong"/>
          <w:color w:val="000000"/>
          <w:sz w:val="21"/>
          <w:szCs w:val="21"/>
          <w:bdr w:val="none" w:sz="0" w:space="0" w:color="auto" w:frame="1"/>
          <w:rtl/>
        </w:rPr>
        <w:t>كجم وزن الجسم، 5 ملغ / كجم وزن الجسم </w:t>
      </w:r>
      <w:r>
        <w:rPr>
          <w:rStyle w:val="Strong"/>
          <w:color w:val="000000"/>
          <w:sz w:val="21"/>
          <w:szCs w:val="21"/>
          <w:bdr w:val="none" w:sz="0" w:space="0" w:color="auto" w:frame="1"/>
        </w:rPr>
        <w:t>Cd</w:t>
      </w:r>
      <w:r>
        <w:rPr>
          <w:rStyle w:val="Strong"/>
          <w:color w:val="000000"/>
          <w:sz w:val="21"/>
          <w:szCs w:val="21"/>
          <w:bdr w:val="none" w:sz="0" w:space="0" w:color="auto" w:frame="1"/>
          <w:rtl/>
        </w:rPr>
        <w:t>، </w:t>
      </w:r>
      <w:r>
        <w:rPr>
          <w:rStyle w:val="Strong"/>
          <w:color w:val="000000"/>
          <w:sz w:val="21"/>
          <w:szCs w:val="21"/>
          <w:bdr w:val="none" w:sz="0" w:space="0" w:color="auto" w:frame="1"/>
        </w:rPr>
        <w:t>100 </w:t>
      </w:r>
      <w:r>
        <w:rPr>
          <w:rStyle w:val="Strong"/>
          <w:color w:val="000000"/>
          <w:sz w:val="21"/>
          <w:szCs w:val="21"/>
          <w:bdr w:val="none" w:sz="0" w:space="0" w:color="auto" w:frame="1"/>
          <w:rtl/>
        </w:rPr>
        <w:t>ملغ </w:t>
      </w:r>
      <w:r>
        <w:rPr>
          <w:rStyle w:val="Strong"/>
          <w:color w:val="000000"/>
          <w:sz w:val="21"/>
          <w:szCs w:val="21"/>
          <w:bdr w:val="none" w:sz="0" w:space="0" w:color="auto" w:frame="1"/>
        </w:rPr>
        <w:t>EA + 5 </w:t>
      </w:r>
      <w:r>
        <w:rPr>
          <w:rStyle w:val="Strong"/>
          <w:color w:val="000000"/>
          <w:sz w:val="21"/>
          <w:szCs w:val="21"/>
          <w:bdr w:val="none" w:sz="0" w:space="0" w:color="auto" w:frame="1"/>
          <w:rtl/>
        </w:rPr>
        <w:t>ملغ </w:t>
      </w:r>
      <w:r>
        <w:rPr>
          <w:rStyle w:val="Strong"/>
          <w:color w:val="000000"/>
          <w:sz w:val="21"/>
          <w:szCs w:val="21"/>
          <w:bdr w:val="none" w:sz="0" w:space="0" w:color="auto" w:frame="1"/>
        </w:rPr>
        <w:t>Cd </w:t>
      </w:r>
      <w:r>
        <w:rPr>
          <w:rStyle w:val="Strong"/>
          <w:color w:val="000000"/>
          <w:sz w:val="21"/>
          <w:szCs w:val="21"/>
          <w:bdr w:val="none" w:sz="0" w:space="0" w:color="auto" w:frame="1"/>
          <w:rtl/>
        </w:rPr>
        <w:t>كجم وزن الجسم، وماء عادي للمجموعة 1 </w:t>
      </w:r>
      <w:r>
        <w:rPr>
          <w:rStyle w:val="Strong"/>
          <w:color w:val="000000"/>
          <w:sz w:val="21"/>
          <w:szCs w:val="21"/>
          <w:bdr w:val="none" w:sz="0" w:space="0" w:color="auto" w:frame="1"/>
        </w:rPr>
        <w:t>(T1)</w:t>
      </w:r>
      <w:r>
        <w:rPr>
          <w:rStyle w:val="Strong"/>
          <w:color w:val="000000"/>
          <w:sz w:val="21"/>
          <w:szCs w:val="21"/>
          <w:bdr w:val="none" w:sz="0" w:space="0" w:color="auto" w:frame="1"/>
          <w:rtl/>
        </w:rPr>
        <w:t>، والمجموعة 2 </w:t>
      </w:r>
      <w:r>
        <w:rPr>
          <w:rStyle w:val="Strong"/>
          <w:color w:val="000000"/>
          <w:sz w:val="21"/>
          <w:szCs w:val="21"/>
          <w:bdr w:val="none" w:sz="0" w:space="0" w:color="auto" w:frame="1"/>
        </w:rPr>
        <w:t>(T2)</w:t>
      </w:r>
      <w:r>
        <w:rPr>
          <w:rStyle w:val="Strong"/>
          <w:color w:val="000000"/>
          <w:sz w:val="21"/>
          <w:szCs w:val="21"/>
          <w:bdr w:val="none" w:sz="0" w:space="0" w:color="auto" w:frame="1"/>
          <w:rtl/>
        </w:rPr>
        <w:t>، والمجموعة 3 </w:t>
      </w:r>
      <w:r>
        <w:rPr>
          <w:rStyle w:val="Strong"/>
          <w:color w:val="000000"/>
          <w:sz w:val="21"/>
          <w:szCs w:val="21"/>
          <w:bdr w:val="none" w:sz="0" w:space="0" w:color="auto" w:frame="1"/>
        </w:rPr>
        <w:t>(T3)</w:t>
      </w:r>
      <w:r>
        <w:rPr>
          <w:rStyle w:val="Strong"/>
          <w:color w:val="000000"/>
          <w:sz w:val="21"/>
          <w:szCs w:val="21"/>
          <w:bdr w:val="none" w:sz="0" w:space="0" w:color="auto" w:frame="1"/>
          <w:rtl/>
        </w:rPr>
        <w:t>، والمجموعة السيطرة </w:t>
      </w:r>
      <w:r>
        <w:rPr>
          <w:rStyle w:val="Strong"/>
          <w:color w:val="000000"/>
          <w:sz w:val="21"/>
          <w:szCs w:val="21"/>
          <w:bdr w:val="none" w:sz="0" w:space="0" w:color="auto" w:frame="1"/>
        </w:rPr>
        <w:t>(C) </w:t>
      </w:r>
      <w:r>
        <w:rPr>
          <w:rStyle w:val="Strong"/>
          <w:color w:val="000000"/>
          <w:sz w:val="21"/>
          <w:szCs w:val="21"/>
          <w:bdr w:val="none" w:sz="0" w:space="0" w:color="auto" w:frame="1"/>
          <w:rtl/>
        </w:rPr>
        <w:t>على التوالي. استمرت التجربة لمدة 6 أسابيع، تم جمع عينات الدم بعد اثنين واربع وستة اسبوع من التجربة لتقدير الاختبارات الكيموحيوية (جلوتاثيون والمالونديالدهيد) وتحليل الهرمونات (تركيز التستوستيرون، هرمون </w:t>
      </w:r>
      <w:r>
        <w:rPr>
          <w:rStyle w:val="Strong"/>
          <w:color w:val="000000"/>
          <w:sz w:val="21"/>
          <w:szCs w:val="21"/>
          <w:bdr w:val="none" w:sz="0" w:space="0" w:color="auto" w:frame="1"/>
        </w:rPr>
        <w:t>(LH) </w:t>
      </w:r>
      <w:r>
        <w:rPr>
          <w:rStyle w:val="Strong"/>
          <w:color w:val="000000"/>
          <w:sz w:val="21"/>
          <w:szCs w:val="21"/>
          <w:bdr w:val="none" w:sz="0" w:space="0" w:color="auto" w:frame="1"/>
          <w:rtl/>
        </w:rPr>
        <w:t>وهرمون محفز الجريب </w:t>
      </w:r>
      <w:r>
        <w:rPr>
          <w:rStyle w:val="Strong"/>
          <w:color w:val="000000"/>
          <w:sz w:val="21"/>
          <w:szCs w:val="21"/>
          <w:bdr w:val="none" w:sz="0" w:space="0" w:color="auto" w:frame="1"/>
        </w:rPr>
        <w:t>(FSH). </w:t>
      </w:r>
      <w:r>
        <w:rPr>
          <w:rStyle w:val="Strong"/>
          <w:color w:val="000000"/>
          <w:sz w:val="21"/>
          <w:szCs w:val="21"/>
          <w:bdr w:val="none" w:sz="0" w:space="0" w:color="auto" w:frame="1"/>
          <w:rtl/>
        </w:rPr>
        <w:t>تم جمع عينات السائل المنوي بعد 2 و4 و6 أسابيع لتقدير المعايير المنوية، تم قياس نسبة وزن الخصية إلى وزن الجسم في نهاية التجربة، وفي نهاية التجربة تم تخدير ثلاثة حيوانات من كل مجموعة وتخديرها لدراسة التشريح المرضي للخصيتين</w:t>
      </w:r>
      <w:r>
        <w:rPr>
          <w:rStyle w:val="Strong"/>
          <w:color w:val="000000"/>
          <w:sz w:val="21"/>
          <w:szCs w:val="21"/>
          <w:bdr w:val="none" w:sz="0" w:space="0" w:color="auto" w:frame="1"/>
        </w:rPr>
        <w:t>.</w:t>
      </w:r>
    </w:p>
    <w:p w:rsidR="00E46189" w:rsidRDefault="00E46189" w:rsidP="00E46189">
      <w:pPr>
        <w:pStyle w:val="NormalWeb"/>
        <w:shd w:val="clear" w:color="auto" w:fill="FFFFFF"/>
        <w:spacing w:before="0" w:beforeAutospacing="0" w:after="0" w:afterAutospacing="0"/>
        <w:jc w:val="both"/>
        <w:rPr>
          <w:b/>
          <w:bCs/>
          <w:color w:val="000000"/>
          <w:sz w:val="21"/>
          <w:szCs w:val="21"/>
        </w:rPr>
      </w:pPr>
      <w:r>
        <w:rPr>
          <w:rStyle w:val="Strong"/>
          <w:color w:val="000000"/>
          <w:sz w:val="21"/>
          <w:szCs w:val="21"/>
          <w:bdr w:val="none" w:sz="0" w:space="0" w:color="auto" w:frame="1"/>
          <w:rtl/>
        </w:rPr>
        <w:t>لوحظت العلامات السريرية في المجموعتين </w:t>
      </w:r>
      <w:r>
        <w:rPr>
          <w:rStyle w:val="Strong"/>
          <w:color w:val="000000"/>
          <w:sz w:val="21"/>
          <w:szCs w:val="21"/>
          <w:bdr w:val="none" w:sz="0" w:space="0" w:color="auto" w:frame="1"/>
        </w:rPr>
        <w:t>T2 </w:t>
      </w:r>
      <w:r>
        <w:rPr>
          <w:rStyle w:val="Strong"/>
          <w:color w:val="000000"/>
          <w:sz w:val="21"/>
          <w:szCs w:val="21"/>
          <w:bdr w:val="none" w:sz="0" w:space="0" w:color="auto" w:frame="1"/>
          <w:rtl/>
        </w:rPr>
        <w:t>و </w:t>
      </w:r>
      <w:r>
        <w:rPr>
          <w:rStyle w:val="Strong"/>
          <w:color w:val="000000"/>
          <w:sz w:val="21"/>
          <w:szCs w:val="21"/>
          <w:bdr w:val="none" w:sz="0" w:space="0" w:color="auto" w:frame="1"/>
        </w:rPr>
        <w:t>T3 </w:t>
      </w:r>
      <w:r>
        <w:rPr>
          <w:rStyle w:val="Strong"/>
          <w:color w:val="000000"/>
          <w:sz w:val="21"/>
          <w:szCs w:val="21"/>
          <w:bdr w:val="none" w:sz="0" w:space="0" w:color="auto" w:frame="1"/>
          <w:rtl/>
        </w:rPr>
        <w:t>وهي الإسهال ، وفقدان الشهية ، ونزيف الأنف والعين ، والعمى ، والشلل ، وفقدان الوزن ، والخمول والضعف العام ، والجفاف ، والشحمة ، وفرط التنفس ، وضيق التنفس ، وعدم انتظام دقات القلب. أظهرت النتائج انخفاضًا معنويًا</w:t>
      </w:r>
      <w:r>
        <w:rPr>
          <w:rStyle w:val="Strong"/>
          <w:color w:val="000000"/>
          <w:sz w:val="21"/>
          <w:szCs w:val="21"/>
          <w:bdr w:val="none" w:sz="0" w:space="0" w:color="auto" w:frame="1"/>
        </w:rPr>
        <w:t xml:space="preserve"> (P &lt;0.05) </w:t>
      </w:r>
      <w:r>
        <w:rPr>
          <w:rStyle w:val="Strong"/>
          <w:color w:val="000000"/>
          <w:sz w:val="21"/>
          <w:szCs w:val="21"/>
          <w:bdr w:val="none" w:sz="0" w:space="0" w:color="auto" w:frame="1"/>
          <w:rtl/>
        </w:rPr>
        <w:t>من نسبة وزن الخصية إلى وزن الجسم في المجموعة المعالجة</w:t>
      </w:r>
      <w:r>
        <w:rPr>
          <w:rStyle w:val="Strong"/>
          <w:color w:val="000000"/>
          <w:sz w:val="21"/>
          <w:szCs w:val="21"/>
          <w:bdr w:val="none" w:sz="0" w:space="0" w:color="auto" w:frame="1"/>
        </w:rPr>
        <w:t xml:space="preserve"> (T2) </w:t>
      </w:r>
      <w:r>
        <w:rPr>
          <w:rStyle w:val="Strong"/>
          <w:color w:val="000000"/>
          <w:sz w:val="21"/>
          <w:szCs w:val="21"/>
          <w:bdr w:val="none" w:sz="0" w:space="0" w:color="auto" w:frame="1"/>
          <w:rtl/>
        </w:rPr>
        <w:t>مقارنة بالمجموعات الأخرى ، كما أظهرت</w:t>
      </w:r>
      <w:r>
        <w:rPr>
          <w:rStyle w:val="Strong"/>
          <w:color w:val="000000"/>
          <w:sz w:val="21"/>
          <w:szCs w:val="21"/>
          <w:bdr w:val="none" w:sz="0" w:space="0" w:color="auto" w:frame="1"/>
        </w:rPr>
        <w:t xml:space="preserve"> (T3) </w:t>
      </w:r>
      <w:r>
        <w:rPr>
          <w:rStyle w:val="Strong"/>
          <w:color w:val="000000"/>
          <w:sz w:val="21"/>
          <w:szCs w:val="21"/>
          <w:bdr w:val="none" w:sz="0" w:space="0" w:color="auto" w:frame="1"/>
          <w:rtl/>
        </w:rPr>
        <w:t>انخفاضًا معنويًا</w:t>
      </w:r>
      <w:r>
        <w:rPr>
          <w:rStyle w:val="Strong"/>
          <w:color w:val="000000"/>
          <w:sz w:val="21"/>
          <w:szCs w:val="21"/>
          <w:bdr w:val="none" w:sz="0" w:space="0" w:color="auto" w:frame="1"/>
        </w:rPr>
        <w:t xml:space="preserve"> (P &lt;0.05) </w:t>
      </w:r>
      <w:r>
        <w:rPr>
          <w:rStyle w:val="Strong"/>
          <w:color w:val="000000"/>
          <w:sz w:val="21"/>
          <w:szCs w:val="21"/>
          <w:bdr w:val="none" w:sz="0" w:space="0" w:color="auto" w:frame="1"/>
          <w:rtl/>
        </w:rPr>
        <w:t>في النسبة المئوية مقارنة بـ</w:t>
      </w:r>
      <w:r>
        <w:rPr>
          <w:rStyle w:val="Strong"/>
          <w:color w:val="000000"/>
          <w:sz w:val="21"/>
          <w:szCs w:val="21"/>
          <w:bdr w:val="none" w:sz="0" w:space="0" w:color="auto" w:frame="1"/>
        </w:rPr>
        <w:t xml:space="preserve"> (T1) </w:t>
      </w:r>
      <w:r>
        <w:rPr>
          <w:rStyle w:val="Strong"/>
          <w:color w:val="000000"/>
          <w:sz w:val="21"/>
          <w:szCs w:val="21"/>
          <w:bdr w:val="none" w:sz="0" w:space="0" w:color="auto" w:frame="1"/>
          <w:rtl/>
        </w:rPr>
        <w:t>ومجموعة السيطره بينما أظهرت مجموعة حمض اللاجيك</w:t>
      </w:r>
      <w:r>
        <w:rPr>
          <w:rStyle w:val="Strong"/>
          <w:color w:val="000000"/>
          <w:sz w:val="21"/>
          <w:szCs w:val="21"/>
          <w:bdr w:val="none" w:sz="0" w:space="0" w:color="auto" w:frame="1"/>
        </w:rPr>
        <w:t xml:space="preserve"> (T1) </w:t>
      </w:r>
      <w:r>
        <w:rPr>
          <w:rStyle w:val="Strong"/>
          <w:color w:val="000000"/>
          <w:sz w:val="21"/>
          <w:szCs w:val="21"/>
          <w:bdr w:val="none" w:sz="0" w:space="0" w:color="auto" w:frame="1"/>
          <w:rtl/>
        </w:rPr>
        <w:t>انخفاضًا غير معنوي</w:t>
      </w:r>
      <w:r>
        <w:rPr>
          <w:rStyle w:val="Strong"/>
          <w:color w:val="000000"/>
          <w:sz w:val="21"/>
          <w:szCs w:val="21"/>
          <w:bdr w:val="none" w:sz="0" w:space="0" w:color="auto" w:frame="1"/>
        </w:rPr>
        <w:t xml:space="preserve"> (P &lt;0.05) </w:t>
      </w:r>
      <w:r>
        <w:rPr>
          <w:rStyle w:val="Strong"/>
          <w:color w:val="000000"/>
          <w:sz w:val="21"/>
          <w:szCs w:val="21"/>
          <w:bdr w:val="none" w:sz="0" w:space="0" w:color="auto" w:frame="1"/>
          <w:rtl/>
        </w:rPr>
        <w:t>في النسبة المئوية مقارنة بمجموعة السيطره بينما حدثت زيادة معنوية</w:t>
      </w:r>
      <w:r>
        <w:rPr>
          <w:rStyle w:val="Strong"/>
          <w:color w:val="000000"/>
          <w:sz w:val="21"/>
          <w:szCs w:val="21"/>
          <w:bdr w:val="none" w:sz="0" w:space="0" w:color="auto" w:frame="1"/>
        </w:rPr>
        <w:t xml:space="preserve"> (P &lt;0.05) </w:t>
      </w:r>
      <w:r>
        <w:rPr>
          <w:rStyle w:val="Strong"/>
          <w:color w:val="000000"/>
          <w:sz w:val="21"/>
          <w:szCs w:val="21"/>
          <w:bdr w:val="none" w:sz="0" w:space="0" w:color="auto" w:frame="1"/>
          <w:rtl/>
        </w:rPr>
        <w:t>في تراكيز الهرمون</w:t>
      </w:r>
      <w:r>
        <w:rPr>
          <w:rStyle w:val="Strong"/>
          <w:color w:val="000000"/>
          <w:sz w:val="21"/>
          <w:szCs w:val="21"/>
          <w:bdr w:val="none" w:sz="0" w:space="0" w:color="auto" w:frame="1"/>
        </w:rPr>
        <w:t xml:space="preserve">  (FSH) </w:t>
      </w:r>
      <w:r>
        <w:rPr>
          <w:rStyle w:val="Strong"/>
          <w:color w:val="000000"/>
          <w:sz w:val="21"/>
          <w:szCs w:val="21"/>
          <w:bdr w:val="none" w:sz="0" w:space="0" w:color="auto" w:frame="1"/>
          <w:rtl/>
        </w:rPr>
        <w:t>ومستوى تركيز </w:t>
      </w:r>
      <w:r>
        <w:rPr>
          <w:rStyle w:val="Strong"/>
          <w:color w:val="000000"/>
          <w:sz w:val="21"/>
          <w:szCs w:val="21"/>
          <w:bdr w:val="none" w:sz="0" w:space="0" w:color="auto" w:frame="1"/>
        </w:rPr>
        <w:t>MDA </w:t>
      </w:r>
      <w:r>
        <w:rPr>
          <w:rStyle w:val="Strong"/>
          <w:color w:val="000000"/>
          <w:sz w:val="21"/>
          <w:szCs w:val="21"/>
          <w:bdr w:val="none" w:sz="0" w:space="0" w:color="auto" w:frame="1"/>
          <w:rtl/>
        </w:rPr>
        <w:t>في </w:t>
      </w:r>
      <w:r>
        <w:rPr>
          <w:rStyle w:val="Strong"/>
          <w:color w:val="000000"/>
          <w:sz w:val="21"/>
          <w:szCs w:val="21"/>
          <w:bdr w:val="none" w:sz="0" w:space="0" w:color="auto" w:frame="1"/>
        </w:rPr>
        <w:t xml:space="preserve">T2  </w:t>
      </w:r>
      <w:r>
        <w:rPr>
          <w:rStyle w:val="Strong"/>
          <w:color w:val="000000"/>
          <w:sz w:val="21"/>
          <w:szCs w:val="21"/>
          <w:bdr w:val="none" w:sz="0" w:space="0" w:color="auto" w:frame="1"/>
          <w:rtl/>
        </w:rPr>
        <w:t>بالمقارنة مع السيطرة بينما أظهرت النتائج انخفاضًا معنويًا في </w:t>
      </w:r>
      <w:r>
        <w:rPr>
          <w:rStyle w:val="Strong"/>
          <w:color w:val="000000"/>
          <w:sz w:val="21"/>
          <w:szCs w:val="21"/>
          <w:bdr w:val="none" w:sz="0" w:space="0" w:color="auto" w:frame="1"/>
        </w:rPr>
        <w:t>T1 </w:t>
      </w:r>
      <w:r>
        <w:rPr>
          <w:rStyle w:val="Strong"/>
          <w:color w:val="000000"/>
          <w:sz w:val="21"/>
          <w:szCs w:val="21"/>
          <w:bdr w:val="none" w:sz="0" w:space="0" w:color="auto" w:frame="1"/>
          <w:rtl/>
        </w:rPr>
        <w:t>و </w:t>
      </w:r>
      <w:r>
        <w:rPr>
          <w:rStyle w:val="Strong"/>
          <w:color w:val="000000"/>
          <w:sz w:val="21"/>
          <w:szCs w:val="21"/>
          <w:bdr w:val="none" w:sz="0" w:space="0" w:color="auto" w:frame="1"/>
        </w:rPr>
        <w:t>T3 </w:t>
      </w:r>
      <w:r>
        <w:rPr>
          <w:rStyle w:val="Strong"/>
          <w:color w:val="000000"/>
          <w:sz w:val="21"/>
          <w:szCs w:val="21"/>
          <w:bdr w:val="none" w:sz="0" w:space="0" w:color="auto" w:frame="1"/>
          <w:rtl/>
        </w:rPr>
        <w:t>، وأظهرت النتائج انخفاضًا معنويًا في تركيز التستوستيرون وهرمون</w:t>
      </w:r>
      <w:r>
        <w:rPr>
          <w:rStyle w:val="Strong"/>
          <w:color w:val="000000"/>
          <w:sz w:val="21"/>
          <w:szCs w:val="21"/>
          <w:bdr w:val="none" w:sz="0" w:space="0" w:color="auto" w:frame="1"/>
        </w:rPr>
        <w:t xml:space="preserve"> (LH) </w:t>
      </w:r>
      <w:r>
        <w:rPr>
          <w:rStyle w:val="Strong"/>
          <w:color w:val="000000"/>
          <w:sz w:val="21"/>
          <w:szCs w:val="21"/>
          <w:bdr w:val="none" w:sz="0" w:space="0" w:color="auto" w:frame="1"/>
          <w:rtl/>
        </w:rPr>
        <w:t>وتركيز الجلوتاثيون في </w:t>
      </w:r>
      <w:r>
        <w:rPr>
          <w:rStyle w:val="Strong"/>
          <w:color w:val="000000"/>
          <w:sz w:val="21"/>
          <w:szCs w:val="21"/>
          <w:bdr w:val="none" w:sz="0" w:space="0" w:color="auto" w:frame="1"/>
        </w:rPr>
        <w:t>T2 </w:t>
      </w:r>
      <w:r>
        <w:rPr>
          <w:rStyle w:val="Strong"/>
          <w:color w:val="000000"/>
          <w:sz w:val="21"/>
          <w:szCs w:val="21"/>
          <w:bdr w:val="none" w:sz="0" w:space="0" w:color="auto" w:frame="1"/>
          <w:rtl/>
        </w:rPr>
        <w:t>و تركيز الحيوانات المنوية وحركة الحيوانات المنوية في </w:t>
      </w:r>
      <w:r>
        <w:rPr>
          <w:rStyle w:val="Strong"/>
          <w:color w:val="000000"/>
          <w:sz w:val="21"/>
          <w:szCs w:val="21"/>
          <w:bdr w:val="none" w:sz="0" w:space="0" w:color="auto" w:frame="1"/>
        </w:rPr>
        <w:t>T2 </w:t>
      </w:r>
      <w:r>
        <w:rPr>
          <w:rStyle w:val="Strong"/>
          <w:color w:val="000000"/>
          <w:sz w:val="21"/>
          <w:szCs w:val="21"/>
          <w:bdr w:val="none" w:sz="0" w:space="0" w:color="auto" w:frame="1"/>
          <w:rtl/>
        </w:rPr>
        <w:t>مقارنة بمجموعه السيطرة</w:t>
      </w:r>
      <w:r>
        <w:rPr>
          <w:rStyle w:val="Strong"/>
          <w:color w:val="000000"/>
          <w:sz w:val="21"/>
          <w:szCs w:val="21"/>
          <w:bdr w:val="none" w:sz="0" w:space="0" w:color="auto" w:frame="1"/>
        </w:rPr>
        <w:t>.</w:t>
      </w:r>
    </w:p>
    <w:p w:rsidR="00E46189" w:rsidRDefault="00E46189" w:rsidP="00E46189">
      <w:pPr>
        <w:pStyle w:val="NormalWeb"/>
        <w:shd w:val="clear" w:color="auto" w:fill="FFFFFF"/>
        <w:spacing w:before="0" w:beforeAutospacing="0" w:after="0" w:afterAutospacing="0"/>
        <w:jc w:val="both"/>
        <w:rPr>
          <w:b/>
          <w:bCs/>
          <w:color w:val="000000"/>
          <w:sz w:val="21"/>
          <w:szCs w:val="21"/>
        </w:rPr>
      </w:pPr>
      <w:r>
        <w:rPr>
          <w:rStyle w:val="Strong"/>
          <w:color w:val="000000"/>
          <w:sz w:val="21"/>
          <w:szCs w:val="21"/>
          <w:bdr w:val="none" w:sz="0" w:space="0" w:color="auto" w:frame="1"/>
          <w:rtl/>
        </w:rPr>
        <w:t>استنتجت الدراسة ان حمض اللاجيك هو أحد مضادات الأكسدة الفعالة ضد التأثير السام لكلوريد الكادميوم على وظيفة الخصية والحيوانات المنوية وهرمونات التكاثر الذكري، إضافة الى تحييد التأثير غير الطبيعي لكلوريد الكادميوم وتحسين انزيمات الأكسدة / مضادات الأكسدة</w:t>
      </w:r>
      <w:r>
        <w:rPr>
          <w:rStyle w:val="Strong"/>
          <w:color w:val="000000"/>
          <w:sz w:val="21"/>
          <w:szCs w:val="21"/>
          <w:bdr w:val="none" w:sz="0" w:space="0" w:color="auto" w:frame="1"/>
        </w:rPr>
        <w:t>.</w:t>
      </w:r>
    </w:p>
    <w:p w:rsidR="00A04092" w:rsidRDefault="00A04092">
      <w:bookmarkStart w:id="0" w:name="_GoBack"/>
      <w:bookmarkEnd w:id="0"/>
    </w:p>
    <w:sectPr w:rsidR="00A040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5"/>
    <w:rsid w:val="00A04092"/>
    <w:rsid w:val="00BB0F05"/>
    <w:rsid w:val="00E46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0151-9288-47AB-9B3C-B6E5EE8D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1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0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Company>SACC</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2023-12-28T21:16:00Z</dcterms:created>
  <dcterms:modified xsi:type="dcterms:W3CDTF">2023-12-28T21:16:00Z</dcterms:modified>
</cp:coreProperties>
</file>