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F7B5" w14:textId="3DD32721" w:rsidR="00E00D65" w:rsidRPr="00E00D65" w:rsidRDefault="00E00D65" w:rsidP="00E00D65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E00D65">
        <w:rPr>
          <w:rFonts w:asciiTheme="majorBidi" w:hAnsiTheme="majorBidi" w:cstheme="majorBidi"/>
          <w:sz w:val="28"/>
          <w:szCs w:val="28"/>
          <w:rtl/>
        </w:rPr>
        <w:t>تناولت الدورة مفهوم التحقيق الاداري وكذلك الفرق بين التحقيق الاداري والتحقيق الجنائي من ناحية جهة التحقيق ومن ناحية الاثر القانوني للعقوبة المفروضة</w:t>
      </w:r>
      <w:r w:rsidRPr="00E00D65">
        <w:rPr>
          <w:rFonts w:asciiTheme="majorBidi" w:hAnsiTheme="majorBidi" w:cstheme="majorBidi"/>
          <w:sz w:val="28"/>
          <w:szCs w:val="28"/>
        </w:rPr>
        <w:t>.</w:t>
      </w:r>
    </w:p>
    <w:p w14:paraId="7E9BCD3E" w14:textId="02E13242" w:rsidR="00E00D65" w:rsidRPr="00E00D65" w:rsidRDefault="00E00D65" w:rsidP="00E00D65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E00D65">
        <w:rPr>
          <w:rFonts w:asciiTheme="majorBidi" w:hAnsiTheme="majorBidi" w:cstheme="majorBidi"/>
          <w:sz w:val="28"/>
          <w:szCs w:val="28"/>
          <w:rtl/>
        </w:rPr>
        <w:t>وتطرقت الدورة الى اليات التحقيق الاداري (الوسائل) استنادا الى احكام قانون انضباط موظفي الدولة والقطاع العام رقم 14 لسنة 1991، وايضا الى اليات التحقيق الاداري وشكلية اعداد محاضر اللجان التحقيقية</w:t>
      </w:r>
      <w:r w:rsidRPr="00E00D65">
        <w:rPr>
          <w:rFonts w:asciiTheme="majorBidi" w:hAnsiTheme="majorBidi" w:cstheme="majorBidi"/>
          <w:sz w:val="28"/>
          <w:szCs w:val="28"/>
        </w:rPr>
        <w:t>.</w:t>
      </w:r>
    </w:p>
    <w:p w14:paraId="3A1DC96C" w14:textId="3213EF82" w:rsidR="00E00D65" w:rsidRPr="00E00D65" w:rsidRDefault="00E00D65" w:rsidP="00E00D65">
      <w:pPr>
        <w:bidi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E00D65">
        <w:rPr>
          <w:rFonts w:asciiTheme="majorBidi" w:hAnsiTheme="majorBidi" w:cstheme="majorBidi"/>
          <w:color w:val="C00000"/>
          <w:sz w:val="28"/>
          <w:szCs w:val="28"/>
          <w:rtl/>
        </w:rPr>
        <w:t>واوصت الدورة، بضرورة احاطة اللجان التحقيقية العلم بالقوانين والتعليمات النافذة لاسيما الخاصة بالانضباط الوظيفي واجراءات التحقيق الاداري عند تكليفها التحقيق في موضوع معين</w:t>
      </w:r>
      <w:r w:rsidRPr="00E00D65">
        <w:rPr>
          <w:rFonts w:asciiTheme="majorBidi" w:hAnsiTheme="majorBidi" w:cstheme="majorBidi"/>
          <w:color w:val="C00000"/>
          <w:sz w:val="28"/>
          <w:szCs w:val="28"/>
        </w:rPr>
        <w:t>.</w:t>
      </w:r>
    </w:p>
    <w:p w14:paraId="33BA4C15" w14:textId="57CF8F38" w:rsidR="006B4EF0" w:rsidRPr="00E00D65" w:rsidRDefault="00E00D65" w:rsidP="00E00D65">
      <w:pPr>
        <w:bidi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E00D65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   </w:t>
      </w:r>
      <w:r w:rsidRPr="00E00D65">
        <w:rPr>
          <w:rFonts w:asciiTheme="majorBidi" w:hAnsiTheme="majorBidi" w:cstheme="majorBidi"/>
          <w:color w:val="C00000"/>
          <w:sz w:val="28"/>
          <w:szCs w:val="28"/>
          <w:rtl/>
        </w:rPr>
        <w:t>واوصت ايضا بمراعاة اللجان الشكلية المطلوبة في اعداد محاضر اللجان التحقيقية وصياغتها باسلوب قانوني واضح وصريح</w:t>
      </w:r>
      <w:r w:rsidRPr="00E00D65">
        <w:rPr>
          <w:rFonts w:asciiTheme="majorBidi" w:hAnsiTheme="majorBidi" w:cstheme="majorBidi"/>
          <w:color w:val="C00000"/>
          <w:sz w:val="28"/>
          <w:szCs w:val="28"/>
        </w:rPr>
        <w:t>.</w:t>
      </w:r>
    </w:p>
    <w:sectPr w:rsidR="006B4EF0" w:rsidRPr="00E0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F3"/>
    <w:rsid w:val="000527F3"/>
    <w:rsid w:val="006B4EF0"/>
    <w:rsid w:val="00E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C6C6"/>
  <w15:chartTrackingRefBased/>
  <w15:docId w15:val="{EC05AE8B-0F04-452B-B996-71A72B5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2023-12-25T09:17:00Z</dcterms:created>
  <dcterms:modified xsi:type="dcterms:W3CDTF">2023-12-25T09:19:00Z</dcterms:modified>
</cp:coreProperties>
</file>