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FA" w:rsidRPr="00BE3C52" w:rsidRDefault="00811A16" w:rsidP="004C3A41">
      <w:pPr>
        <w:bidi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811A1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النتائج والتوصيات</w:t>
      </w:r>
    </w:p>
    <w:p w:rsidR="00E042D3" w:rsidRPr="00E042D3" w:rsidRDefault="00E042D3" w:rsidP="00E042D3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="004C3A41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هدفت الدراسة، الى تقييم مستوى التعبير الجيني لجينات</w:t>
      </w:r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</w:rPr>
        <w:t>(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Agg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، </w:t>
      </w:r>
      <w:r w:rsidRPr="00E042D3">
        <w:rPr>
          <w:rFonts w:asciiTheme="majorBidi" w:hAnsiTheme="majorBidi" w:cs="Times New Roman"/>
          <w:sz w:val="28"/>
          <w:szCs w:val="28"/>
        </w:rPr>
        <w:t>Ace)</w:t>
      </w:r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ذات العلاقة بالالتصاق وجين استشعار</w:t>
      </w:r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Fsrb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في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Enterococcus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السريرية المعزولة من نساء عراقيات عند التعرض لـ</w:t>
      </w:r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Polyglucosamine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>.</w:t>
      </w:r>
    </w:p>
    <w:p w:rsidR="00E042D3" w:rsidRPr="00E042D3" w:rsidRDefault="00E042D3" w:rsidP="00E042D3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Pr="00E042D3">
        <w:rPr>
          <w:rFonts w:asciiTheme="majorBidi" w:hAnsiTheme="majorBidi" w:cs="Times New Roman"/>
          <w:sz w:val="28"/>
          <w:szCs w:val="28"/>
          <w:rtl/>
        </w:rPr>
        <w:t>وبينت الدراسة، ان التهابات المسالك البولية</w:t>
      </w:r>
      <w:r w:rsidRPr="00E042D3">
        <w:rPr>
          <w:rFonts w:asciiTheme="majorBidi" w:hAnsiTheme="majorBidi" w:cs="Times New Roman"/>
          <w:sz w:val="28"/>
          <w:szCs w:val="28"/>
        </w:rPr>
        <w:t xml:space="preserve"> (UTIs) 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تعد من </w:t>
      </w:r>
      <w:r w:rsidRPr="00E042D3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 الأمراض البكتيرية شيوعا التي تتطلب العلاج بالمضادات الحيوية</w:t>
      </w:r>
      <w:r w:rsidRPr="00E042D3">
        <w:rPr>
          <w:rFonts w:asciiTheme="majorBidi" w:hAnsiTheme="majorBidi" w:cs="Times New Roman"/>
          <w:sz w:val="28"/>
          <w:szCs w:val="28"/>
        </w:rPr>
        <w:t xml:space="preserve"> Enterococcus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هي كائنات لا هوائية اختيارية موجبة</w:t>
      </w:r>
      <w:r w:rsidRPr="00E042D3">
        <w:rPr>
          <w:rFonts w:asciiTheme="majorBidi" w:hAnsiTheme="majorBidi" w:cs="Times New Roman"/>
          <w:sz w:val="28"/>
          <w:szCs w:val="28"/>
        </w:rPr>
        <w:t>.</w:t>
      </w:r>
    </w:p>
    <w:p w:rsidR="00E042D3" w:rsidRPr="00E042D3" w:rsidRDefault="00E042D3" w:rsidP="00E042D3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Pr="00E042D3">
        <w:rPr>
          <w:rFonts w:asciiTheme="majorBidi" w:hAnsiTheme="majorBidi" w:cs="Times New Roman"/>
          <w:sz w:val="28"/>
          <w:szCs w:val="28"/>
          <w:rtl/>
        </w:rPr>
        <w:t>واكدت الدراسة، أنه وفقًا للتعريف التقليدي باستخدام الزراعة الانتقائية وتأكيد التحديد باستخدام نظام 2</w:t>
      </w:r>
      <w:r w:rsidRPr="00E042D3">
        <w:rPr>
          <w:rFonts w:asciiTheme="majorBidi" w:hAnsiTheme="majorBidi" w:cs="Times New Roman"/>
          <w:sz w:val="28"/>
          <w:szCs w:val="28"/>
        </w:rPr>
        <w:t xml:space="preserve"> VITEK. </w:t>
      </w:r>
      <w:r w:rsidRPr="00E042D3">
        <w:rPr>
          <w:rFonts w:asciiTheme="majorBidi" w:hAnsiTheme="majorBidi" w:cs="Times New Roman"/>
          <w:sz w:val="28"/>
          <w:szCs w:val="28"/>
          <w:rtl/>
        </w:rPr>
        <w:t>كانت نسبة الأنواع الميكروبية المختلفة كما يلي: 32</w:t>
      </w:r>
      <w:r w:rsidRPr="00E042D3">
        <w:rPr>
          <w:rFonts w:asciiTheme="majorBidi" w:hAnsiTheme="majorBidi" w:cs="Times New Roman"/>
          <w:sz w:val="28"/>
          <w:szCs w:val="28"/>
        </w:rPr>
        <w:t xml:space="preserve"> (21) Enterococcus </w:t>
      </w:r>
      <w:r w:rsidRPr="00E042D3">
        <w:rPr>
          <w:rFonts w:ascii="Segoe UI Symbol" w:hAnsi="Segoe UI Symbol" w:cs="Segoe UI Symbol"/>
          <w:sz w:val="28"/>
          <w:szCs w:val="28"/>
        </w:rPr>
        <w:t>⚫</w:t>
      </w:r>
      <w:r w:rsidRPr="00E042D3">
        <w:rPr>
          <w:rFonts w:asciiTheme="majorBidi" w:hAnsiTheme="majorBidi" w:cs="Times New Roman"/>
          <w:sz w:val="28"/>
          <w:szCs w:val="28"/>
        </w:rPr>
        <w:t xml:space="preserve">️ Proteus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sp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7.35 (23)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Klebisella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spp. 717 (12) E. coli 745 (30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(14) staphylococcus spp%</w:t>
      </w:r>
      <w:r w:rsidRPr="00E042D3">
        <w:rPr>
          <w:rFonts w:asciiTheme="majorBidi" w:hAnsiTheme="majorBidi" w:cs="Times New Roman"/>
          <w:sz w:val="28"/>
          <w:szCs w:val="28"/>
        </w:rPr>
        <w:t>21)</w:t>
      </w:r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أظهرت النتائج أن 32 عزلة تنتمي إلى</w:t>
      </w:r>
      <w:r w:rsidRPr="00E042D3">
        <w:rPr>
          <w:rFonts w:asciiTheme="majorBidi" w:hAnsiTheme="majorBidi" w:cs="Times New Roman"/>
          <w:sz w:val="28"/>
          <w:szCs w:val="28"/>
        </w:rPr>
        <w:t xml:space="preserve"> E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وتم تأكيد ذلك من خلال تضخيم الجين النوعي</w:t>
      </w:r>
      <w:r w:rsidRPr="00E042D3">
        <w:rPr>
          <w:rFonts w:asciiTheme="majorBidi" w:hAnsiTheme="majorBidi" w:cs="Times New Roman"/>
          <w:sz w:val="28"/>
          <w:szCs w:val="28"/>
        </w:rPr>
        <w:t xml:space="preserve"> (23SRNA).</w:t>
      </w:r>
    </w:p>
    <w:p w:rsidR="00E042D3" w:rsidRPr="00E042D3" w:rsidRDefault="00E042D3" w:rsidP="00E042D3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وتم خلال الدراسة اخضاع جميع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E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البالغ عددها 32 إلى مزيد من التحليل الجزيئي للتحقق من وجود جين المرقم الحيوي التشخيصي</w:t>
      </w:r>
      <w:r w:rsidRPr="00E042D3">
        <w:rPr>
          <w:rFonts w:asciiTheme="majorBidi" w:hAnsiTheme="majorBidi" w:cs="Times New Roman"/>
          <w:sz w:val="28"/>
          <w:szCs w:val="28"/>
        </w:rPr>
        <w:t xml:space="preserve"> FB </w:t>
      </w:r>
      <w:r w:rsidRPr="00E042D3">
        <w:rPr>
          <w:rFonts w:asciiTheme="majorBidi" w:hAnsiTheme="majorBidi" w:cs="Times New Roman"/>
          <w:sz w:val="28"/>
          <w:szCs w:val="28"/>
          <w:rtl/>
        </w:rPr>
        <w:t>المرتبط بنظام استشعار البكتريا الذي ينظم إنتاج الجيلاتين للتحكم في نمو الأغشية الحيوية</w:t>
      </w:r>
      <w:r w:rsidRPr="00E042D3">
        <w:rPr>
          <w:rFonts w:asciiTheme="majorBidi" w:hAnsiTheme="majorBidi" w:cs="Times New Roman"/>
          <w:sz w:val="28"/>
          <w:szCs w:val="28"/>
        </w:rPr>
        <w:t>.</w:t>
      </w:r>
    </w:p>
    <w:p w:rsidR="00E042D3" w:rsidRPr="00E042D3" w:rsidRDefault="00E042D3" w:rsidP="00E042D3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Pr="00E042D3">
        <w:rPr>
          <w:rFonts w:asciiTheme="majorBidi" w:hAnsiTheme="majorBidi" w:cs="Times New Roman"/>
          <w:sz w:val="28"/>
          <w:szCs w:val="28"/>
          <w:rtl/>
        </w:rPr>
        <w:t>وأظهرت النتائج أن 26 (81.2) من بكتيريا ال</w:t>
      </w:r>
      <w:r w:rsidRPr="00E042D3">
        <w:rPr>
          <w:rFonts w:asciiTheme="majorBidi" w:hAnsiTheme="majorBidi" w:cs="Times New Roman"/>
          <w:sz w:val="28"/>
          <w:szCs w:val="28"/>
        </w:rPr>
        <w:t xml:space="preserve">Enterococcus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تمتلك </w:t>
      </w:r>
      <w:proofErr w:type="gramStart"/>
      <w:r w:rsidRPr="00E042D3">
        <w:rPr>
          <w:rFonts w:asciiTheme="majorBidi" w:hAnsiTheme="majorBidi" w:cs="Times New Roman"/>
          <w:sz w:val="28"/>
          <w:szCs w:val="28"/>
          <w:rtl/>
        </w:rPr>
        <w:t>جين</w:t>
      </w:r>
      <w:r w:rsidRPr="00E042D3">
        <w:rPr>
          <w:rFonts w:asciiTheme="majorBidi" w:hAnsiTheme="majorBidi" w:cs="Times New Roman"/>
          <w:sz w:val="28"/>
          <w:szCs w:val="28"/>
        </w:rPr>
        <w:t xml:space="preserve"> .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fsrB</w:t>
      </w:r>
      <w:proofErr w:type="spellEnd"/>
      <w:proofErr w:type="gram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التصاق الكولاجين</w:t>
      </w:r>
      <w:r w:rsidRPr="00E042D3">
        <w:rPr>
          <w:rFonts w:asciiTheme="majorBidi" w:hAnsiTheme="majorBidi" w:cs="Times New Roman"/>
          <w:sz w:val="28"/>
          <w:szCs w:val="28"/>
        </w:rPr>
        <w:t xml:space="preserve"> (Ace) </w:t>
      </w:r>
      <w:r w:rsidRPr="00E042D3">
        <w:rPr>
          <w:rFonts w:asciiTheme="majorBidi" w:hAnsiTheme="majorBidi" w:cs="Times New Roman"/>
          <w:sz w:val="28"/>
          <w:szCs w:val="28"/>
          <w:rtl/>
        </w:rPr>
        <w:t>الخطوة الحاسمة الأولى في التسبب في بكتيريا</w:t>
      </w:r>
      <w:r w:rsidRPr="00E042D3">
        <w:rPr>
          <w:rFonts w:asciiTheme="majorBidi" w:hAnsiTheme="majorBidi" w:cs="Times New Roman"/>
          <w:sz w:val="28"/>
          <w:szCs w:val="28"/>
        </w:rPr>
        <w:t xml:space="preserve"> E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هي الالتزام بأنسجة المضيف ، وخاصة التهابات المسالك البولية</w:t>
      </w:r>
      <w:r w:rsidRPr="00E042D3">
        <w:rPr>
          <w:rFonts w:asciiTheme="majorBidi" w:hAnsiTheme="majorBidi" w:cs="Times New Roman"/>
          <w:sz w:val="28"/>
          <w:szCs w:val="28"/>
        </w:rPr>
        <w:t>.</w:t>
      </w:r>
    </w:p>
    <w:p w:rsidR="00E042D3" w:rsidRPr="00E042D3" w:rsidRDefault="00E042D3" w:rsidP="00E042D3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وأظهرت ايضا أن 26 (81.2) من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بكتريا</w:t>
      </w:r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Efaecalis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لها جين</w:t>
      </w:r>
      <w:r w:rsidRPr="00E042D3">
        <w:rPr>
          <w:rFonts w:asciiTheme="majorBidi" w:hAnsiTheme="majorBidi" w:cs="Times New Roman"/>
          <w:sz w:val="28"/>
          <w:szCs w:val="28"/>
        </w:rPr>
        <w:t xml:space="preserve"> Ace. 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بعض عوامل الضراوة الرئيسية المرتبطة بعدوى المكورات المعوية هي مواد </w:t>
      </w:r>
      <w:r w:rsidRPr="00E042D3">
        <w:rPr>
          <w:rFonts w:asciiTheme="majorBidi" w:hAnsiTheme="majorBidi" w:cs="Times New Roman" w:hint="cs"/>
          <w:sz w:val="28"/>
          <w:szCs w:val="28"/>
          <w:rtl/>
        </w:rPr>
        <w:t>لاصقة،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 مثل مادة التجميع () وكذلك أن 32 (100%) من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بكتريا</w:t>
      </w:r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Efaecalis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لها </w:t>
      </w:r>
      <w:r w:rsidRPr="00E042D3">
        <w:rPr>
          <w:rFonts w:asciiTheme="majorBidi" w:hAnsiTheme="majorBidi" w:cs="Times New Roman" w:hint="cs"/>
          <w:sz w:val="28"/>
          <w:szCs w:val="28"/>
          <w:rtl/>
        </w:rPr>
        <w:t>جين.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 تم الكشف عن إنتاج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بيوفيلم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في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E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 </w:t>
      </w:r>
      <w:r w:rsidRPr="00E042D3">
        <w:rPr>
          <w:rFonts w:asciiTheme="majorBidi" w:hAnsiTheme="majorBidi" w:cs="Times New Roman"/>
          <w:sz w:val="28"/>
          <w:szCs w:val="28"/>
          <w:rtl/>
        </w:rPr>
        <w:t>باستخدام طريقة لوحة</w:t>
      </w:r>
      <w:r w:rsidRPr="00E042D3">
        <w:rPr>
          <w:rFonts w:asciiTheme="majorBidi" w:hAnsiTheme="majorBidi" w:cs="Times New Roman"/>
          <w:sz w:val="28"/>
          <w:szCs w:val="28"/>
        </w:rPr>
        <w:t xml:space="preserve"> (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microtiter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>) MIC).</w:t>
      </w:r>
    </w:p>
    <w:p w:rsidR="00E042D3" w:rsidRPr="006C074A" w:rsidRDefault="00E042D3" w:rsidP="00E042D3">
      <w:pPr>
        <w:bidi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bookmarkStart w:id="0" w:name="_GoBack"/>
      <w:bookmarkEnd w:id="0"/>
      <w:r w:rsidRPr="00E042D3">
        <w:rPr>
          <w:rFonts w:asciiTheme="majorBidi" w:hAnsiTheme="majorBidi" w:cs="Times New Roman"/>
          <w:sz w:val="28"/>
          <w:szCs w:val="28"/>
          <w:rtl/>
        </w:rPr>
        <w:t xml:space="preserve">واوصت الدراسة، أن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Polyglucosamine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لخمس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أن الحد الأدنى للتركيز المثبط (</w:t>
      </w:r>
      <w:r w:rsidRPr="00E042D3">
        <w:rPr>
          <w:rFonts w:asciiTheme="majorBidi" w:hAnsiTheme="majorBidi" w:cs="Times New Roman"/>
          <w:sz w:val="28"/>
          <w:szCs w:val="28"/>
        </w:rPr>
        <w:t xml:space="preserve">MIC) </w:t>
      </w:r>
      <w:r w:rsidRPr="00E042D3">
        <w:rPr>
          <w:rFonts w:asciiTheme="majorBidi" w:hAnsiTheme="majorBidi" w:cs="Times New Roman"/>
          <w:sz w:val="28"/>
          <w:szCs w:val="28"/>
          <w:rtl/>
        </w:rPr>
        <w:t>يتراوح بين (110000 ميكروجرام / مل</w:t>
      </w:r>
      <w:r w:rsidRPr="00E042D3">
        <w:rPr>
          <w:rFonts w:asciiTheme="majorBidi" w:hAnsiTheme="majorBidi" w:cs="Times New Roman" w:hint="cs"/>
          <w:sz w:val="28"/>
          <w:szCs w:val="28"/>
          <w:rtl/>
        </w:rPr>
        <w:t>)،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 وكان التركيز 2500 ميكروجرام / مل يثبط نمو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Efaecalis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بنسبة 40% (5/2). بينما كانت التركيزات 1250 ميكروجرام / مل تثبط نمو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بكتريا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faecalis</w:t>
      </w:r>
      <w:proofErr w:type="spellEnd"/>
      <w:r w:rsidRPr="00E042D3">
        <w:rPr>
          <w:rFonts w:asciiTheme="majorBidi" w:hAnsiTheme="majorBidi" w:cs="Times New Roman"/>
          <w:sz w:val="28"/>
          <w:szCs w:val="28"/>
        </w:rPr>
        <w:t xml:space="preserve">. 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بنسبة %60 (3/3) على التوالي. النشاط المضاد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للبيوفيلم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042D3">
        <w:rPr>
          <w:rFonts w:asciiTheme="majorBidi" w:hAnsiTheme="majorBidi" w:cs="Times New Roman"/>
          <w:sz w:val="28"/>
          <w:szCs w:val="28"/>
          <w:rtl/>
        </w:rPr>
        <w:t>لعزلات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بكتريا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Efaecalis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من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Polyglucosamine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في هذه </w:t>
      </w:r>
      <w:r w:rsidRPr="00E042D3">
        <w:rPr>
          <w:rFonts w:asciiTheme="majorBidi" w:hAnsiTheme="majorBidi" w:cs="Times New Roman" w:hint="cs"/>
          <w:sz w:val="28"/>
          <w:szCs w:val="28"/>
          <w:rtl/>
        </w:rPr>
        <w:t>الدراسة،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 كان </w:t>
      </w:r>
      <w:proofErr w:type="spellStart"/>
      <w:r w:rsidRPr="00E042D3">
        <w:rPr>
          <w:rFonts w:asciiTheme="majorBidi" w:hAnsiTheme="majorBidi" w:cs="Times New Roman"/>
          <w:sz w:val="28"/>
          <w:szCs w:val="28"/>
        </w:rPr>
        <w:t>Polyglucosamine</w:t>
      </w:r>
      <w:proofErr w:type="spellEnd"/>
      <w:r w:rsidRPr="00E042D3">
        <w:rPr>
          <w:rFonts w:asciiTheme="majorBidi" w:hAnsiTheme="majorBidi" w:cs="Times New Roman"/>
          <w:sz w:val="28"/>
          <w:szCs w:val="28"/>
          <w:rtl/>
        </w:rPr>
        <w:t xml:space="preserve"> نشاط مضاد </w:t>
      </w:r>
      <w:r w:rsidRPr="00E042D3">
        <w:rPr>
          <w:rFonts w:asciiTheme="majorBidi" w:hAnsiTheme="majorBidi" w:cs="Times New Roman" w:hint="cs"/>
          <w:sz w:val="28"/>
          <w:szCs w:val="28"/>
          <w:rtl/>
        </w:rPr>
        <w:t>حيوي،</w:t>
      </w:r>
      <w:r w:rsidRPr="00E042D3">
        <w:rPr>
          <w:rFonts w:asciiTheme="majorBidi" w:hAnsiTheme="majorBidi" w:cs="Times New Roman"/>
          <w:sz w:val="28"/>
          <w:szCs w:val="28"/>
          <w:rtl/>
        </w:rPr>
        <w:t xml:space="preserve"> فقد منع %93%، 88.</w:t>
      </w:r>
      <w:r w:rsidR="004C3A41">
        <w:rPr>
          <w:rFonts w:asciiTheme="majorBidi" w:hAnsiTheme="majorBidi" w:cs="Times New Roman"/>
          <w:sz w:val="28"/>
          <w:szCs w:val="28"/>
        </w:rPr>
        <w:t xml:space="preserve">  </w:t>
      </w:r>
    </w:p>
    <w:p w:rsidR="00805687" w:rsidRPr="006C074A" w:rsidRDefault="00E042D3" w:rsidP="004C3A41">
      <w:pPr>
        <w:bidi/>
        <w:jc w:val="both"/>
        <w:rPr>
          <w:rFonts w:asciiTheme="majorBidi" w:hAnsiTheme="majorBidi" w:cs="Times New Roman"/>
          <w:sz w:val="28"/>
          <w:szCs w:val="28"/>
        </w:rPr>
      </w:pPr>
    </w:p>
    <w:sectPr w:rsidR="00805687" w:rsidRPr="006C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8"/>
    <w:rsid w:val="00024A8A"/>
    <w:rsid w:val="00035BD2"/>
    <w:rsid w:val="00070214"/>
    <w:rsid w:val="000C3BD0"/>
    <w:rsid w:val="00201882"/>
    <w:rsid w:val="00212584"/>
    <w:rsid w:val="00213DA9"/>
    <w:rsid w:val="00234397"/>
    <w:rsid w:val="002D1A78"/>
    <w:rsid w:val="002E3D28"/>
    <w:rsid w:val="00312428"/>
    <w:rsid w:val="003D4CFA"/>
    <w:rsid w:val="00454F06"/>
    <w:rsid w:val="004C3A41"/>
    <w:rsid w:val="00515A2B"/>
    <w:rsid w:val="00517965"/>
    <w:rsid w:val="00670CA6"/>
    <w:rsid w:val="00693707"/>
    <w:rsid w:val="00695E82"/>
    <w:rsid w:val="006A25AE"/>
    <w:rsid w:val="006C074A"/>
    <w:rsid w:val="00722768"/>
    <w:rsid w:val="007F49BF"/>
    <w:rsid w:val="00811A16"/>
    <w:rsid w:val="00836572"/>
    <w:rsid w:val="00857891"/>
    <w:rsid w:val="008834BE"/>
    <w:rsid w:val="00896922"/>
    <w:rsid w:val="009507F1"/>
    <w:rsid w:val="0097130C"/>
    <w:rsid w:val="009E55B5"/>
    <w:rsid w:val="00A40EFE"/>
    <w:rsid w:val="00A7584F"/>
    <w:rsid w:val="00B5443A"/>
    <w:rsid w:val="00B77065"/>
    <w:rsid w:val="00BC0FCD"/>
    <w:rsid w:val="00BC7CDA"/>
    <w:rsid w:val="00BE3C52"/>
    <w:rsid w:val="00C6200F"/>
    <w:rsid w:val="00C9733A"/>
    <w:rsid w:val="00CE5555"/>
    <w:rsid w:val="00D34A81"/>
    <w:rsid w:val="00D357B9"/>
    <w:rsid w:val="00D82899"/>
    <w:rsid w:val="00E042D3"/>
    <w:rsid w:val="00E461B3"/>
    <w:rsid w:val="00EB0B83"/>
    <w:rsid w:val="00EC6FF8"/>
    <w:rsid w:val="00ED729E"/>
    <w:rsid w:val="00EF6536"/>
    <w:rsid w:val="00FB62C1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1300"/>
  <w15:chartTrackingRefBased/>
  <w15:docId w15:val="{CE598D07-ADE1-43EF-934B-28A82A0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292</Words>
  <Characters>1671</Characters>
  <Application>Microsoft Office Word</Application>
  <DocSecurity>0</DocSecurity>
  <Lines>13</Lines>
  <Paragraphs>3</Paragraphs>
  <ScaleCrop>false</ScaleCrop>
  <Company>SACC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99</cp:revision>
  <dcterms:created xsi:type="dcterms:W3CDTF">2023-12-02T15:47:00Z</dcterms:created>
  <dcterms:modified xsi:type="dcterms:W3CDTF">2023-12-19T18:55:00Z</dcterms:modified>
</cp:coreProperties>
</file>