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16" w:rsidRPr="00811A16" w:rsidRDefault="00811A16" w:rsidP="00811A16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bookmarkStart w:id="0" w:name="_GoBack"/>
      <w:r w:rsidRPr="00811A1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النتائج والتوصيات</w:t>
      </w:r>
    </w:p>
    <w:bookmarkEnd w:id="0"/>
    <w:p w:rsidR="00811A16" w:rsidRDefault="00811A16" w:rsidP="00811A16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11A16" w:rsidRPr="00811A16" w:rsidRDefault="00811A16" w:rsidP="00811A16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</w:t>
      </w:r>
      <w:r w:rsidRPr="00811A16">
        <w:rPr>
          <w:rFonts w:asciiTheme="majorBidi" w:hAnsiTheme="majorBidi" w:cstheme="majorBidi"/>
          <w:sz w:val="28"/>
          <w:szCs w:val="28"/>
          <w:rtl/>
        </w:rPr>
        <w:t xml:space="preserve">ضمنت الدراسة، </w:t>
      </w:r>
      <w:r w:rsidRPr="00811A16">
        <w:rPr>
          <w:rFonts w:asciiTheme="majorBidi" w:hAnsiTheme="majorBidi" w:cstheme="majorBidi"/>
          <w:sz w:val="28"/>
          <w:szCs w:val="28"/>
          <w:rtl/>
          <w:lang w:bidi="fa-IR"/>
        </w:rPr>
        <w:t>۱۵۰</w:t>
      </w:r>
      <w:r w:rsidRPr="00811A16">
        <w:rPr>
          <w:rFonts w:asciiTheme="majorBidi" w:hAnsiTheme="majorBidi" w:cstheme="majorBidi"/>
          <w:sz w:val="28"/>
          <w:szCs w:val="28"/>
          <w:rtl/>
        </w:rPr>
        <w:t xml:space="preserve"> امرأة مصابة بالعقم يخضعن للحقن المجهري، اذ تم اختيار النساء ضمن معايير وتم تقسيمها الى </w:t>
      </w:r>
      <w:proofErr w:type="gramStart"/>
      <w:r w:rsidRPr="00811A16">
        <w:rPr>
          <w:rFonts w:asciiTheme="majorBidi" w:hAnsiTheme="majorBidi" w:cstheme="majorBidi"/>
          <w:sz w:val="28"/>
          <w:szCs w:val="28"/>
          <w:rtl/>
        </w:rPr>
        <w:t>مجموعتين,</w:t>
      </w:r>
      <w:proofErr w:type="gramEnd"/>
      <w:r w:rsidRPr="00811A16">
        <w:rPr>
          <w:rFonts w:asciiTheme="majorBidi" w:hAnsiTheme="majorBidi" w:cstheme="majorBidi"/>
          <w:sz w:val="28"/>
          <w:szCs w:val="28"/>
          <w:rtl/>
        </w:rPr>
        <w:t xml:space="preserve"> تضمنت المجموعة الأولى نساء ذوات دليل كيميائي حيوي إيجابي على الحمل ، بينما اشتملت المجموعة الثانية على نساء ذوات دليل كيميائي حيوي سلبي على الحمل كلا المجموعتين تضم ٧٥ امرأة</w:t>
      </w:r>
      <w:r w:rsidRPr="00811A16">
        <w:rPr>
          <w:rFonts w:asciiTheme="majorBidi" w:hAnsiTheme="majorBidi" w:cstheme="majorBidi"/>
          <w:sz w:val="28"/>
          <w:szCs w:val="28"/>
        </w:rPr>
        <w:t>.</w:t>
      </w:r>
    </w:p>
    <w:p w:rsidR="00811A16" w:rsidRPr="00811A16" w:rsidRDefault="00811A16" w:rsidP="00811A16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11A16">
        <w:rPr>
          <w:rFonts w:asciiTheme="majorBidi" w:hAnsiTheme="majorBidi" w:cstheme="majorBidi"/>
          <w:sz w:val="28"/>
          <w:szCs w:val="28"/>
          <w:rtl/>
        </w:rPr>
        <w:t>واظهرت نتائج الدراسة، عدم وجود فروق معنوية في الخصائص الديموغرافية بين النساء الحوامل وغير الحوامل</w:t>
      </w:r>
      <w:r w:rsidRPr="00811A16">
        <w:rPr>
          <w:rFonts w:asciiTheme="majorBidi" w:hAnsiTheme="majorBidi" w:cstheme="majorBidi"/>
          <w:sz w:val="28"/>
          <w:szCs w:val="28"/>
        </w:rPr>
        <w:t xml:space="preserve"> (0.05&lt;P) </w:t>
      </w:r>
      <w:r w:rsidRPr="00811A16">
        <w:rPr>
          <w:rFonts w:asciiTheme="majorBidi" w:hAnsiTheme="majorBidi" w:cstheme="majorBidi"/>
          <w:sz w:val="28"/>
          <w:szCs w:val="28"/>
          <w:rtl/>
        </w:rPr>
        <w:t xml:space="preserve">وكان هنالك فرق معنوي ملحوظ في هورمون </w:t>
      </w:r>
      <w:proofErr w:type="spellStart"/>
      <w:r w:rsidRPr="00811A16">
        <w:rPr>
          <w:rFonts w:asciiTheme="majorBidi" w:hAnsiTheme="majorBidi" w:cstheme="majorBidi"/>
          <w:sz w:val="28"/>
          <w:szCs w:val="28"/>
          <w:rtl/>
        </w:rPr>
        <w:t>الاستراديول</w:t>
      </w:r>
      <w:proofErr w:type="spellEnd"/>
      <w:r w:rsidRPr="00811A16">
        <w:rPr>
          <w:rFonts w:asciiTheme="majorBidi" w:hAnsiTheme="majorBidi" w:cstheme="majorBidi"/>
          <w:sz w:val="28"/>
          <w:szCs w:val="28"/>
          <w:rtl/>
        </w:rPr>
        <w:t xml:space="preserve"> ، البروجسترون و</w:t>
      </w:r>
      <w:r w:rsidRPr="00811A16">
        <w:rPr>
          <w:rFonts w:asciiTheme="majorBidi" w:hAnsiTheme="majorBidi" w:cstheme="majorBidi"/>
          <w:sz w:val="28"/>
          <w:szCs w:val="28"/>
        </w:rPr>
        <w:t xml:space="preserve"> LH </w:t>
      </w:r>
      <w:r w:rsidRPr="00811A16">
        <w:rPr>
          <w:rFonts w:asciiTheme="majorBidi" w:hAnsiTheme="majorBidi" w:cstheme="majorBidi"/>
          <w:sz w:val="28"/>
          <w:szCs w:val="28"/>
          <w:rtl/>
        </w:rPr>
        <w:t>عند النساء الحوامل</w:t>
      </w:r>
      <w:r w:rsidRPr="00811A16">
        <w:rPr>
          <w:rFonts w:asciiTheme="majorBidi" w:hAnsiTheme="majorBidi" w:cstheme="majorBidi"/>
          <w:sz w:val="28"/>
          <w:szCs w:val="28"/>
        </w:rPr>
        <w:t xml:space="preserve"> (0.05)) : </w:t>
      </w:r>
      <w:r w:rsidRPr="00811A16">
        <w:rPr>
          <w:rFonts w:asciiTheme="majorBidi" w:hAnsiTheme="majorBidi" w:cstheme="majorBidi"/>
          <w:sz w:val="28"/>
          <w:szCs w:val="28"/>
          <w:rtl/>
        </w:rPr>
        <w:t xml:space="preserve">ولكن لم يكن هناك فرق معنوي </w:t>
      </w:r>
      <w:proofErr w:type="spellStart"/>
      <w:r w:rsidRPr="00811A16">
        <w:rPr>
          <w:rFonts w:asciiTheme="majorBidi" w:hAnsiTheme="majorBidi" w:cstheme="majorBidi"/>
          <w:sz w:val="28"/>
          <w:szCs w:val="28"/>
          <w:rtl/>
        </w:rPr>
        <w:t>لل</w:t>
      </w:r>
      <w:proofErr w:type="spellEnd"/>
      <w:r w:rsidRPr="00811A16">
        <w:rPr>
          <w:rFonts w:asciiTheme="majorBidi" w:hAnsiTheme="majorBidi" w:cstheme="majorBidi"/>
          <w:sz w:val="28"/>
          <w:szCs w:val="28"/>
        </w:rPr>
        <w:t xml:space="preserve"> FSH </w:t>
      </w:r>
      <w:r w:rsidRPr="00811A16">
        <w:rPr>
          <w:rFonts w:asciiTheme="majorBidi" w:hAnsiTheme="majorBidi" w:cstheme="majorBidi"/>
          <w:sz w:val="28"/>
          <w:szCs w:val="28"/>
          <w:rtl/>
        </w:rPr>
        <w:t>و</w:t>
      </w:r>
      <w:r w:rsidRPr="00811A16">
        <w:rPr>
          <w:rFonts w:asciiTheme="majorBidi" w:hAnsiTheme="majorBidi" w:cstheme="majorBidi"/>
          <w:sz w:val="28"/>
          <w:szCs w:val="28"/>
        </w:rPr>
        <w:t xml:space="preserve"> p&gt;0.05) TSH) </w:t>
      </w:r>
      <w:r w:rsidRPr="00811A16">
        <w:rPr>
          <w:rFonts w:asciiTheme="majorBidi" w:hAnsiTheme="majorBidi" w:cstheme="majorBidi"/>
          <w:sz w:val="28"/>
          <w:szCs w:val="28"/>
          <w:rtl/>
        </w:rPr>
        <w:t>لم يكن هناك فروق معنوية كبيرة في خصائص البويضات والجنين وسمك بطانة الرحم بين النساء الحوامل والنساء غير الحوامل (0.05</w:t>
      </w:r>
      <w:r w:rsidRPr="00811A16">
        <w:rPr>
          <w:rFonts w:asciiTheme="majorBidi" w:hAnsiTheme="majorBidi" w:cstheme="majorBidi"/>
          <w:sz w:val="28"/>
          <w:szCs w:val="28"/>
        </w:rPr>
        <w:t xml:space="preserve">) (P) </w:t>
      </w:r>
      <w:r w:rsidRPr="00811A16">
        <w:rPr>
          <w:rFonts w:asciiTheme="majorBidi" w:hAnsiTheme="majorBidi" w:cstheme="majorBidi"/>
          <w:sz w:val="28"/>
          <w:szCs w:val="28"/>
          <w:rtl/>
        </w:rPr>
        <w:t>كانت مستويات البروتين لـ 9</w:t>
      </w:r>
      <w:r w:rsidRPr="00811A16">
        <w:rPr>
          <w:rFonts w:asciiTheme="majorBidi" w:hAnsiTheme="majorBidi" w:cstheme="majorBidi"/>
          <w:sz w:val="28"/>
          <w:szCs w:val="28"/>
        </w:rPr>
        <w:t xml:space="preserve">-HOXA </w:t>
      </w:r>
      <w:r w:rsidRPr="00811A16">
        <w:rPr>
          <w:rFonts w:asciiTheme="majorBidi" w:hAnsiTheme="majorBidi" w:cstheme="majorBidi"/>
          <w:sz w:val="28"/>
          <w:szCs w:val="28"/>
          <w:rtl/>
        </w:rPr>
        <w:t>و 10</w:t>
      </w:r>
      <w:r w:rsidRPr="00811A16">
        <w:rPr>
          <w:rFonts w:asciiTheme="majorBidi" w:hAnsiTheme="majorBidi" w:cstheme="majorBidi"/>
          <w:sz w:val="28"/>
          <w:szCs w:val="28"/>
        </w:rPr>
        <w:t xml:space="preserve">-HOXA </w:t>
      </w:r>
      <w:r w:rsidRPr="00811A16">
        <w:rPr>
          <w:rFonts w:asciiTheme="majorBidi" w:hAnsiTheme="majorBidi" w:cstheme="majorBidi"/>
          <w:sz w:val="28"/>
          <w:szCs w:val="28"/>
          <w:rtl/>
        </w:rPr>
        <w:t>و</w:t>
      </w:r>
      <w:r w:rsidRPr="00811A16">
        <w:rPr>
          <w:rFonts w:asciiTheme="majorBidi" w:hAnsiTheme="majorBidi" w:cstheme="majorBidi"/>
          <w:sz w:val="28"/>
          <w:szCs w:val="28"/>
        </w:rPr>
        <w:t xml:space="preserve"> TNF alpha </w:t>
      </w:r>
      <w:r w:rsidRPr="00811A16">
        <w:rPr>
          <w:rFonts w:asciiTheme="majorBidi" w:hAnsiTheme="majorBidi" w:cstheme="majorBidi"/>
          <w:sz w:val="28"/>
          <w:szCs w:val="28"/>
          <w:rtl/>
        </w:rPr>
        <w:t>أعلى بشكل ملحوظ لدى النساء الحوامل مقارنة بالنساء غير الحوامل (0.05</w:t>
      </w:r>
      <w:r w:rsidRPr="00811A16">
        <w:rPr>
          <w:rFonts w:asciiTheme="majorBidi" w:hAnsiTheme="majorBidi" w:cstheme="majorBidi"/>
          <w:sz w:val="28"/>
          <w:szCs w:val="28"/>
        </w:rPr>
        <w:t xml:space="preserve">&gt;P) </w:t>
      </w:r>
      <w:r w:rsidRPr="00811A16">
        <w:rPr>
          <w:rFonts w:asciiTheme="majorBidi" w:hAnsiTheme="majorBidi" w:cstheme="majorBidi"/>
          <w:sz w:val="28"/>
          <w:szCs w:val="28"/>
          <w:rtl/>
        </w:rPr>
        <w:t>فيما يتعلق بجين 9</w:t>
      </w:r>
      <w:r w:rsidRPr="00811A16">
        <w:rPr>
          <w:rFonts w:asciiTheme="majorBidi" w:hAnsiTheme="majorBidi" w:cstheme="majorBidi"/>
          <w:sz w:val="28"/>
          <w:szCs w:val="28"/>
        </w:rPr>
        <w:t>-HOXA.</w:t>
      </w:r>
    </w:p>
    <w:p w:rsidR="00811A16" w:rsidRPr="00811A16" w:rsidRDefault="00811A16" w:rsidP="00811A16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11A16">
        <w:rPr>
          <w:rFonts w:asciiTheme="majorBidi" w:hAnsiTheme="majorBidi" w:cstheme="majorBidi"/>
          <w:sz w:val="28"/>
          <w:szCs w:val="28"/>
          <w:rtl/>
        </w:rPr>
        <w:t xml:space="preserve">ووجدت الدراسة فرق معنوي في موقع </w:t>
      </w:r>
      <w:r w:rsidRPr="00811A16">
        <w:rPr>
          <w:rFonts w:asciiTheme="majorBidi" w:hAnsiTheme="majorBidi" w:cstheme="majorBidi" w:hint="cs"/>
          <w:sz w:val="28"/>
          <w:szCs w:val="28"/>
          <w:rtl/>
        </w:rPr>
        <w:t>(212</w:t>
      </w:r>
      <w:r w:rsidRPr="00811A16">
        <w:rPr>
          <w:rFonts w:asciiTheme="majorBidi" w:hAnsiTheme="majorBidi" w:cstheme="majorBidi"/>
          <w:sz w:val="28"/>
          <w:szCs w:val="28"/>
          <w:rtl/>
        </w:rPr>
        <w:t>-211) و</w:t>
      </w:r>
      <w:r w:rsidRPr="00811A16">
        <w:rPr>
          <w:rFonts w:asciiTheme="majorBidi" w:hAnsiTheme="majorBidi" w:cstheme="majorBidi"/>
          <w:sz w:val="28"/>
          <w:szCs w:val="28"/>
        </w:rPr>
        <w:t xml:space="preserve"> (315) Tins TC </w:t>
      </w:r>
      <w:r w:rsidRPr="00811A16">
        <w:rPr>
          <w:rFonts w:asciiTheme="majorBidi" w:hAnsiTheme="majorBidi" w:cstheme="majorBidi"/>
          <w:sz w:val="28"/>
          <w:szCs w:val="28"/>
          <w:rtl/>
        </w:rPr>
        <w:t>بين الحمل الإيجابي والسلبي</w:t>
      </w:r>
      <w:r w:rsidRPr="00811A16">
        <w:rPr>
          <w:rFonts w:asciiTheme="majorBidi" w:hAnsiTheme="majorBidi" w:cstheme="majorBidi"/>
          <w:sz w:val="28"/>
          <w:szCs w:val="28"/>
        </w:rPr>
        <w:t xml:space="preserve"> (0.05) () </w:t>
      </w:r>
      <w:r w:rsidRPr="00811A16">
        <w:rPr>
          <w:rFonts w:asciiTheme="majorBidi" w:hAnsiTheme="majorBidi" w:cstheme="majorBidi"/>
          <w:sz w:val="28"/>
          <w:szCs w:val="28"/>
          <w:rtl/>
        </w:rPr>
        <w:t xml:space="preserve">ومع </w:t>
      </w:r>
      <w:r w:rsidRPr="00811A16">
        <w:rPr>
          <w:rFonts w:asciiTheme="majorBidi" w:hAnsiTheme="majorBidi" w:cstheme="majorBidi" w:hint="cs"/>
          <w:sz w:val="28"/>
          <w:szCs w:val="28"/>
          <w:rtl/>
        </w:rPr>
        <w:t>ذلك،</w:t>
      </w:r>
      <w:r w:rsidRPr="00811A16">
        <w:rPr>
          <w:rFonts w:asciiTheme="majorBidi" w:hAnsiTheme="majorBidi" w:cstheme="majorBidi"/>
          <w:sz w:val="28"/>
          <w:szCs w:val="28"/>
          <w:rtl/>
        </w:rPr>
        <w:t xml:space="preserve"> لم يكن هناك فرق كبير في (276</w:t>
      </w:r>
      <w:r w:rsidRPr="00811A16">
        <w:rPr>
          <w:rFonts w:asciiTheme="majorBidi" w:hAnsiTheme="majorBidi" w:cstheme="majorBidi"/>
          <w:sz w:val="28"/>
          <w:szCs w:val="28"/>
        </w:rPr>
        <w:t xml:space="preserve">) (676CT) (396C&gt;G) (815-816Tins) (430-431Tins) (277Ains </w:t>
      </w:r>
      <w:r w:rsidRPr="00811A16">
        <w:rPr>
          <w:rFonts w:asciiTheme="majorBidi" w:hAnsiTheme="majorBidi" w:cstheme="majorBidi" w:hint="cs"/>
          <w:sz w:val="28"/>
          <w:szCs w:val="28"/>
          <w:rtl/>
        </w:rPr>
        <w:t>كذلك</w:t>
      </w:r>
      <w:proofErr w:type="gramStart"/>
      <w:r w:rsidRPr="00811A16">
        <w:rPr>
          <w:rFonts w:asciiTheme="majorBidi" w:hAnsiTheme="majorBidi" w:cstheme="majorBidi"/>
          <w:sz w:val="28"/>
          <w:szCs w:val="28"/>
        </w:rPr>
        <w:t>.</w:t>
      </w:r>
      <w:r w:rsidRPr="00811A16">
        <w:rPr>
          <w:rFonts w:asciiTheme="majorBidi" w:hAnsiTheme="majorBidi" w:cstheme="majorBidi"/>
          <w:sz w:val="28"/>
          <w:szCs w:val="28"/>
        </w:rPr>
        <w:t xml:space="preserve"> </w:t>
      </w:r>
      <w:r w:rsidRPr="00811A16">
        <w:rPr>
          <w:rFonts w:asciiTheme="majorBidi" w:hAnsiTheme="majorBidi" w:cstheme="majorBidi"/>
          <w:sz w:val="28"/>
          <w:szCs w:val="28"/>
        </w:rPr>
        <w:t>)</w:t>
      </w:r>
      <w:proofErr w:type="gramEnd"/>
      <w:r w:rsidRPr="00811A16">
        <w:rPr>
          <w:rFonts w:asciiTheme="majorBidi" w:hAnsiTheme="majorBidi" w:cstheme="majorBidi"/>
          <w:sz w:val="28"/>
          <w:szCs w:val="28"/>
        </w:rPr>
        <w:t xml:space="preserve"> p</w:t>
      </w:r>
      <w:r w:rsidRPr="00811A16">
        <w:rPr>
          <w:rFonts w:asciiTheme="majorBidi" w:hAnsiTheme="majorBidi" w:cstheme="majorBidi"/>
          <w:sz w:val="28"/>
          <w:szCs w:val="28"/>
        </w:rPr>
        <w:t xml:space="preserve">0.05( 510) </w:t>
      </w:r>
      <w:r w:rsidRPr="00811A16">
        <w:rPr>
          <w:rFonts w:asciiTheme="majorBidi" w:hAnsiTheme="majorBidi" w:cstheme="majorBidi"/>
          <w:sz w:val="28"/>
          <w:szCs w:val="28"/>
          <w:rtl/>
        </w:rPr>
        <w:t>بين المجموعات</w:t>
      </w:r>
      <w:r w:rsidRPr="00811A16">
        <w:rPr>
          <w:rFonts w:asciiTheme="majorBidi" w:hAnsiTheme="majorBidi" w:cstheme="majorBidi"/>
          <w:sz w:val="28"/>
          <w:szCs w:val="28"/>
        </w:rPr>
        <w:t xml:space="preserve">TC( 287) </w:t>
      </w:r>
      <w:r w:rsidRPr="00811A16">
        <w:rPr>
          <w:rFonts w:asciiTheme="majorBidi" w:hAnsiTheme="majorBidi" w:cstheme="majorBidi"/>
          <w:sz w:val="28"/>
          <w:szCs w:val="28"/>
          <w:rtl/>
        </w:rPr>
        <w:t>و</w:t>
      </w:r>
      <w:r w:rsidRPr="00811A16">
        <w:rPr>
          <w:rFonts w:asciiTheme="majorBidi" w:hAnsiTheme="majorBidi" w:cstheme="majorBidi"/>
          <w:sz w:val="28"/>
          <w:szCs w:val="28"/>
        </w:rPr>
        <w:t xml:space="preserve">TC) (865G&gt;T) (699C&gt;TCC( </w:t>
      </w:r>
      <w:r w:rsidRPr="00811A16">
        <w:rPr>
          <w:rFonts w:asciiTheme="majorBidi" w:hAnsiTheme="majorBidi" w:cstheme="majorBidi"/>
          <w:sz w:val="28"/>
          <w:szCs w:val="28"/>
          <w:rtl/>
        </w:rPr>
        <w:t>بالنسبة للجين 10</w:t>
      </w:r>
      <w:r w:rsidRPr="00811A16">
        <w:rPr>
          <w:rFonts w:asciiTheme="majorBidi" w:hAnsiTheme="majorBidi" w:cstheme="majorBidi"/>
          <w:sz w:val="28"/>
          <w:szCs w:val="28"/>
        </w:rPr>
        <w:t xml:space="preserve">-HOXA </w:t>
      </w:r>
      <w:r w:rsidRPr="00811A16">
        <w:rPr>
          <w:rFonts w:asciiTheme="majorBidi" w:hAnsiTheme="majorBidi" w:cstheme="majorBidi"/>
          <w:sz w:val="28"/>
          <w:szCs w:val="28"/>
          <w:rtl/>
        </w:rPr>
        <w:t>، كان هناك فرق معنوي ملحوظ في (133</w:t>
      </w:r>
      <w:r w:rsidRPr="00811A16">
        <w:rPr>
          <w:rFonts w:asciiTheme="majorBidi" w:hAnsiTheme="majorBidi" w:cstheme="majorBidi"/>
          <w:sz w:val="28"/>
          <w:szCs w:val="28"/>
        </w:rPr>
        <w:t xml:space="preserve">) GA) </w:t>
      </w:r>
      <w:r w:rsidRPr="00811A16">
        <w:rPr>
          <w:rFonts w:asciiTheme="majorBidi" w:hAnsiTheme="majorBidi" w:cstheme="majorBidi"/>
          <w:sz w:val="28"/>
          <w:szCs w:val="28"/>
          <w:rtl/>
        </w:rPr>
        <w:t>بين الحمل الإيجابي )238</w:t>
      </w:r>
      <w:r w:rsidRPr="00811A16">
        <w:rPr>
          <w:rFonts w:asciiTheme="majorBidi" w:hAnsiTheme="majorBidi" w:cstheme="majorBidi"/>
          <w:sz w:val="28"/>
          <w:szCs w:val="28"/>
        </w:rPr>
        <w:t xml:space="preserve">GT) (AG 76( </w:t>
      </w:r>
      <w:r w:rsidRPr="00811A16">
        <w:rPr>
          <w:rFonts w:asciiTheme="majorBidi" w:hAnsiTheme="majorBidi" w:cstheme="majorBidi"/>
          <w:sz w:val="28"/>
          <w:szCs w:val="28"/>
          <w:rtl/>
        </w:rPr>
        <w:t>والسلبي (0.05) : ومع ذلك ، لم يكن هناك فرق كبير في 421) ، (622) بين</w:t>
      </w:r>
      <w:r w:rsidRPr="00811A16">
        <w:rPr>
          <w:rFonts w:asciiTheme="majorBidi" w:hAnsiTheme="majorBidi" w:cstheme="majorBidi"/>
          <w:sz w:val="28"/>
          <w:szCs w:val="28"/>
        </w:rPr>
        <w:t>CT)(314A&gt;T),(152G&gt;A)</w:t>
      </w:r>
      <w:r w:rsidRPr="00811A16">
        <w:rPr>
          <w:rFonts w:asciiTheme="majorBidi" w:eastAsia="MS Gothic" w:hAnsiTheme="majorBidi" w:cstheme="majorBidi"/>
          <w:sz w:val="28"/>
          <w:szCs w:val="28"/>
        </w:rPr>
        <w:t>。</w:t>
      </w:r>
      <w:r w:rsidRPr="00811A16">
        <w:rPr>
          <w:rFonts w:asciiTheme="majorBidi" w:hAnsiTheme="majorBidi" w:cstheme="majorBidi"/>
          <w:sz w:val="28"/>
          <w:szCs w:val="28"/>
        </w:rPr>
        <w:t xml:space="preserve">(C&gt;A 97) (121CA( </w:t>
      </w:r>
      <w:r w:rsidRPr="00811A16">
        <w:rPr>
          <w:rFonts w:asciiTheme="majorBidi" w:hAnsiTheme="majorBidi" w:cstheme="majorBidi"/>
          <w:sz w:val="28"/>
          <w:szCs w:val="28"/>
          <w:rtl/>
        </w:rPr>
        <w:t>المجموعات (0.05</w:t>
      </w:r>
      <w:r w:rsidRPr="00811A16">
        <w:rPr>
          <w:rFonts w:asciiTheme="majorBidi" w:hAnsiTheme="majorBidi" w:cstheme="majorBidi"/>
          <w:sz w:val="28"/>
          <w:szCs w:val="28"/>
        </w:rPr>
        <w:t>&lt;p).</w:t>
      </w:r>
    </w:p>
    <w:p w:rsidR="00811A16" w:rsidRPr="00811A16" w:rsidRDefault="00811A16" w:rsidP="00811A16">
      <w:pPr>
        <w:bidi/>
        <w:jc w:val="both"/>
        <w:rPr>
          <w:rFonts w:asciiTheme="majorBidi" w:hAnsiTheme="majorBidi" w:cstheme="majorBidi"/>
          <w:color w:val="C00000"/>
          <w:sz w:val="28"/>
          <w:szCs w:val="28"/>
          <w:rtl/>
        </w:rPr>
      </w:pPr>
      <w:r w:rsidRPr="00811A16">
        <w:rPr>
          <w:rFonts w:asciiTheme="majorBidi" w:hAnsiTheme="majorBidi" w:cstheme="majorBidi"/>
          <w:color w:val="C00000"/>
          <w:sz w:val="28"/>
          <w:szCs w:val="28"/>
          <w:rtl/>
        </w:rPr>
        <w:t>واستنتجت الدراسة أن تعدد الأشكال الجيني - 9</w:t>
      </w:r>
      <w:r w:rsidRPr="00811A16">
        <w:rPr>
          <w:rFonts w:asciiTheme="majorBidi" w:hAnsiTheme="majorBidi" w:cstheme="majorBidi"/>
          <w:color w:val="C00000"/>
          <w:sz w:val="28"/>
          <w:szCs w:val="28"/>
        </w:rPr>
        <w:t xml:space="preserve">-HOXA </w:t>
      </w:r>
      <w:r w:rsidRPr="00811A16">
        <w:rPr>
          <w:rFonts w:asciiTheme="majorBidi" w:hAnsiTheme="majorBidi" w:cstheme="majorBidi" w:hint="cs"/>
          <w:color w:val="C00000"/>
          <w:sz w:val="28"/>
          <w:szCs w:val="28"/>
          <w:rtl/>
        </w:rPr>
        <w:t>و10</w:t>
      </w:r>
      <w:r w:rsidRPr="00811A16">
        <w:rPr>
          <w:rFonts w:asciiTheme="majorBidi" w:hAnsiTheme="majorBidi" w:cstheme="majorBidi"/>
          <w:color w:val="C00000"/>
          <w:sz w:val="28"/>
          <w:szCs w:val="28"/>
        </w:rPr>
        <w:t xml:space="preserve">-HOX </w:t>
      </w:r>
      <w:r w:rsidRPr="00811A16">
        <w:rPr>
          <w:rFonts w:asciiTheme="majorBidi" w:hAnsiTheme="majorBidi" w:cstheme="majorBidi"/>
          <w:color w:val="C00000"/>
          <w:sz w:val="28"/>
          <w:szCs w:val="28"/>
          <w:rtl/>
        </w:rPr>
        <w:t>يمكن أن يؤثر على مستويات الأنسجة من 9</w:t>
      </w:r>
      <w:r w:rsidRPr="00811A16">
        <w:rPr>
          <w:rFonts w:asciiTheme="majorBidi" w:hAnsiTheme="majorBidi" w:cstheme="majorBidi"/>
          <w:color w:val="C00000"/>
          <w:sz w:val="28"/>
          <w:szCs w:val="28"/>
        </w:rPr>
        <w:t xml:space="preserve">-HOXA </w:t>
      </w:r>
      <w:r w:rsidRPr="00811A16">
        <w:rPr>
          <w:rFonts w:asciiTheme="majorBidi" w:hAnsiTheme="majorBidi" w:cstheme="majorBidi" w:hint="cs"/>
          <w:color w:val="C00000"/>
          <w:sz w:val="28"/>
          <w:szCs w:val="28"/>
          <w:rtl/>
        </w:rPr>
        <w:t>و10</w:t>
      </w:r>
      <w:r w:rsidRPr="00811A16">
        <w:rPr>
          <w:rFonts w:asciiTheme="majorBidi" w:hAnsiTheme="majorBidi" w:cstheme="majorBidi"/>
          <w:color w:val="C00000"/>
          <w:sz w:val="28"/>
          <w:szCs w:val="28"/>
        </w:rPr>
        <w:t xml:space="preserve">-HOX </w:t>
      </w:r>
      <w:r w:rsidRPr="00811A16">
        <w:rPr>
          <w:rFonts w:asciiTheme="majorBidi" w:hAnsiTheme="majorBidi" w:cstheme="majorBidi"/>
          <w:color w:val="C00000"/>
          <w:sz w:val="28"/>
          <w:szCs w:val="28"/>
          <w:rtl/>
        </w:rPr>
        <w:t>في أنسجة بطانة الرحم مما يؤدي إلى النضج الجريبي المضطرب وتقبل بطانة الرحم</w:t>
      </w:r>
      <w:r w:rsidRPr="00811A16">
        <w:rPr>
          <w:rFonts w:asciiTheme="majorBidi" w:hAnsiTheme="majorBidi" w:cstheme="majorBidi"/>
          <w:color w:val="C00000"/>
          <w:sz w:val="28"/>
          <w:szCs w:val="28"/>
        </w:rPr>
        <w:t xml:space="preserve">. </w:t>
      </w:r>
    </w:p>
    <w:p w:rsidR="00805687" w:rsidRPr="00811A16" w:rsidRDefault="00811A16" w:rsidP="00811A16">
      <w:pPr>
        <w:bidi/>
        <w:jc w:val="both"/>
        <w:rPr>
          <w:rFonts w:asciiTheme="majorBidi" w:hAnsiTheme="majorBidi" w:cstheme="majorBidi"/>
          <w:color w:val="C00000"/>
          <w:sz w:val="28"/>
          <w:szCs w:val="28"/>
        </w:rPr>
      </w:pPr>
      <w:r w:rsidRPr="00811A16">
        <w:rPr>
          <w:rFonts w:asciiTheme="majorBidi" w:hAnsiTheme="majorBidi" w:cstheme="majorBidi"/>
          <w:color w:val="C00000"/>
          <w:sz w:val="28"/>
          <w:szCs w:val="28"/>
          <w:rtl/>
        </w:rPr>
        <w:t xml:space="preserve">واوصت الدراسة، بأن الاختلاف في مستويات </w:t>
      </w:r>
      <w:r w:rsidRPr="00811A16">
        <w:rPr>
          <w:rFonts w:asciiTheme="majorBidi" w:hAnsiTheme="majorBidi" w:cstheme="majorBidi"/>
          <w:color w:val="C00000"/>
          <w:sz w:val="28"/>
          <w:szCs w:val="28"/>
        </w:rPr>
        <w:t>INF alpha</w:t>
      </w:r>
      <w:r w:rsidRPr="00811A16">
        <w:rPr>
          <w:rFonts w:asciiTheme="majorBidi" w:hAnsiTheme="majorBidi" w:cstheme="majorBidi"/>
          <w:color w:val="C00000"/>
          <w:sz w:val="28"/>
          <w:szCs w:val="28"/>
          <w:rtl/>
        </w:rPr>
        <w:t xml:space="preserve"> يؤدي الى التباين في مستوى نسيج بطانة الرحم وقد يؤثر على زرع الجنين</w:t>
      </w:r>
    </w:p>
    <w:sectPr w:rsidR="00805687" w:rsidRPr="0081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78"/>
    <w:rsid w:val="002D1A78"/>
    <w:rsid w:val="00312428"/>
    <w:rsid w:val="00811A16"/>
    <w:rsid w:val="009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DAA5"/>
  <w15:chartTrackingRefBased/>
  <w15:docId w15:val="{CE598D07-ADE1-43EF-934B-28A82A0F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Company>SACC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2023-12-02T15:47:00Z</dcterms:created>
  <dcterms:modified xsi:type="dcterms:W3CDTF">2023-12-02T15:51:00Z</dcterms:modified>
</cp:coreProperties>
</file>