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bookmarkStart w:id="0" w:name="_GoBack"/>
      <w:bookmarkEnd w:id="0"/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اختتمت الورشة بعدة توصيات كان أهمها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: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1-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ضرورة تعديل الدستور ليتضمن نصاً صريحاً واضحا على التزام العراق بالاتفاقيات والمواثيق الدولية ذات الصلة المباشرة وغير المباشرة بحقوق الإنسان، وخصوصا المرأة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2-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ترجمة ونشر الاتفاقيات الأساسية التي تشكل جوهر القانون الدولي الإنساني، وخصوصاً تلك التي تتعق بالنساء والأطفال والأقليات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. 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3-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نشر التقارير الدولية التي تصدرها المنظمات والوكالات التابعة للأمم المتحدة أو غيرها على أوسع نطاق، حتى إذا كانت تتعارض مع رؤية الحكومة أو الوزارات المعنية فيها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4-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تقديم تقرير العراق الرسمي حول اتفاقية سيداو، وكذلك تقرير الظل الذي وضعته منظمات المجتمع المدني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5-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رفع المادة 41 من الدستور التي تثير حفيظة النساء وتهدد هويتهن كمواطنات يتمتعن بكامل الحقوق المكفولة بالدستور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6-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تعميم بعض التجارب الناجحة لحماية المرأة وأطفالها من العنف الأسري خصوصاً، من ذلك مثلا تجربة المأوى أو مراكز الحماية للنساء المتعرضات للعنف لإيوائهن وحل مشاكلهن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7-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وضع تشريعات جديدة وفاعلة للحد من العنف ومن تجارة الرقيق الأبيض والزيجات التي تعقد بهدف استغلال المرأة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8-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إنشاء مركز متخصص للأطفال والنساء المصابين بصدمة الحرب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9-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تفعيل وزارة المرأة، أو في حالة تعذر ذلك، إلغاء هذه الوزارة التي أثبتت قصورها الشديد وإنشاء هيكلية أخرى، كمفوضية تقدم المرأة، تمثل السلطة التنفيذية والسلطة التشريعية ومنظمات المجتمع المدني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10-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الإسراع بإطلاق سراح المعتقلات اللواتي لم تثبت إدانتهن وإحالة المتهمات إلى المحاكم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11-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توسيع نطاق توظيف النساء في قوى الأمن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12-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تطبيق تجربة الخط الساخن لحماية النساء اللواتي يتعرضن للعنف المنزلي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372257" w:rsidRPr="00372257" w:rsidRDefault="00372257" w:rsidP="003722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 xml:space="preserve">13- </w:t>
      </w:r>
      <w:r w:rsidRPr="00372257">
        <w:rPr>
          <w:rFonts w:ascii="Segoe UI" w:eastAsia="Times New Roman" w:hAnsi="Segoe UI" w:cs="Segoe UI"/>
          <w:color w:val="050505"/>
          <w:sz w:val="23"/>
          <w:szCs w:val="23"/>
          <w:rtl/>
        </w:rPr>
        <w:t>تشديد العقوبة على ما يسمى جرائم الشرف</w:t>
      </w:r>
      <w:r w:rsidRPr="00372257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300121" w:rsidRPr="00372257" w:rsidRDefault="00372257" w:rsidP="00372257"/>
    <w:sectPr w:rsidR="00300121" w:rsidRPr="00372257" w:rsidSect="00EF6C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57"/>
    <w:rsid w:val="00372257"/>
    <w:rsid w:val="00B32AB3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F63CCB-49C0-48C2-BD47-C92121C2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2023-06-11T08:18:00Z</dcterms:created>
  <dcterms:modified xsi:type="dcterms:W3CDTF">2023-06-11T08:19:00Z</dcterms:modified>
</cp:coreProperties>
</file>