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617E8" w14:textId="77777777" w:rsidR="008109D6" w:rsidRPr="008109D6" w:rsidRDefault="008109D6" w:rsidP="008109D6">
      <w:pPr>
        <w:keepNext/>
        <w:keepLines/>
        <w:bidi/>
        <w:spacing w:before="40" w:after="0"/>
        <w:jc w:val="center"/>
        <w:outlineLvl w:val="1"/>
        <w:rPr>
          <w:rFonts w:asciiTheme="majorBidi" w:eastAsia="Times New Roman" w:hAnsiTheme="majorBidi" w:cstheme="majorBidi"/>
          <w:bCs/>
          <w:color w:val="2E74B5" w:themeColor="accent5" w:themeShade="BF"/>
          <w:kern w:val="0"/>
          <w:sz w:val="36"/>
          <w:szCs w:val="36"/>
          <w:rtl/>
          <w:lang w:bidi="ar"/>
          <w14:ligatures w14:val="none"/>
        </w:rPr>
      </w:pPr>
      <w:r w:rsidRPr="008109D6">
        <w:rPr>
          <w:rFonts w:asciiTheme="majorBidi" w:eastAsia="Times New Roman" w:hAnsiTheme="majorBidi" w:cstheme="majorBidi" w:hint="cs"/>
          <w:bCs/>
          <w:color w:val="2E74B5" w:themeColor="accent5" w:themeShade="BF"/>
          <w:kern w:val="0"/>
          <w:sz w:val="36"/>
          <w:szCs w:val="36"/>
          <w:rtl/>
          <w:lang w:bidi="ar"/>
          <w14:ligatures w14:val="none"/>
        </w:rPr>
        <w:t>الخلاصة</w:t>
      </w:r>
    </w:p>
    <w:p w14:paraId="7A3FC976" w14:textId="77777777" w:rsidR="008109D6" w:rsidRPr="008109D6" w:rsidRDefault="008109D6" w:rsidP="008109D6">
      <w:pPr>
        <w:bidi/>
        <w:spacing w:after="0" w:line="240" w:lineRule="auto"/>
        <w:rPr>
          <w:rFonts w:asciiTheme="majorBidi" w:eastAsia="Times New Roman" w:hAnsiTheme="majorBidi" w:cstheme="majorBidi"/>
          <w:kern w:val="0"/>
          <w:sz w:val="28"/>
          <w:szCs w:val="28"/>
          <w:rtl/>
          <w:lang w:bidi="ar"/>
          <w14:ligatures w14:val="none"/>
        </w:rPr>
      </w:pPr>
    </w:p>
    <w:p w14:paraId="7C20BE2E" w14:textId="77777777" w:rsidR="008109D6" w:rsidRPr="008109D6" w:rsidRDefault="008109D6" w:rsidP="008109D6">
      <w:pPr>
        <w:bidi/>
        <w:spacing w:after="0" w:line="276" w:lineRule="auto"/>
        <w:jc w:val="both"/>
        <w:rPr>
          <w:rFonts w:asciiTheme="majorBidi" w:eastAsia="Times New Roman" w:hAnsiTheme="majorBidi" w:cstheme="majorBidi"/>
          <w:b/>
          <w:bCs/>
          <w:color w:val="2E74B5" w:themeColor="accent5" w:themeShade="BF"/>
          <w:kern w:val="0"/>
          <w:sz w:val="32"/>
          <w:szCs w:val="32"/>
          <w:rtl/>
          <w:lang w:bidi="ar"/>
          <w14:ligatures w14:val="none"/>
        </w:rPr>
      </w:pPr>
      <w:r w:rsidRPr="008109D6">
        <w:rPr>
          <w:rFonts w:asciiTheme="majorBidi" w:eastAsia="Times New Roman" w:hAnsiTheme="majorBidi" w:cstheme="majorBidi" w:hint="cs"/>
          <w:b/>
          <w:bCs/>
          <w:color w:val="2E74B5" w:themeColor="accent5" w:themeShade="BF"/>
          <w:kern w:val="0"/>
          <w:sz w:val="32"/>
          <w:szCs w:val="32"/>
          <w:rtl/>
          <w:lang w:bidi="ar"/>
          <w14:ligatures w14:val="none"/>
        </w:rPr>
        <w:t>خلفية</w:t>
      </w:r>
    </w:p>
    <w:p w14:paraId="0F2CF6E8" w14:textId="77777777" w:rsidR="008109D6" w:rsidRPr="008109D6" w:rsidRDefault="008109D6" w:rsidP="008109D6">
      <w:pPr>
        <w:bidi/>
        <w:spacing w:after="0" w:line="276" w:lineRule="auto"/>
        <w:jc w:val="both"/>
        <w:rPr>
          <w:rFonts w:asciiTheme="majorBidi" w:eastAsia="Times New Roman" w:hAnsiTheme="majorBidi" w:cstheme="majorBidi"/>
          <w:kern w:val="0"/>
          <w:sz w:val="28"/>
          <w:szCs w:val="28"/>
          <w:lang w:bidi="ar"/>
          <w14:ligatures w14:val="none"/>
        </w:rPr>
      </w:pPr>
      <w:r w:rsidRPr="008109D6">
        <w:rPr>
          <w:rFonts w:asciiTheme="majorBidi" w:eastAsia="Times New Roman" w:hAnsiTheme="majorBidi" w:cstheme="majorBidi" w:hint="cs"/>
          <w:kern w:val="0"/>
          <w:sz w:val="28"/>
          <w:szCs w:val="28"/>
          <w:rtl/>
          <w:lang w:bidi="ar"/>
          <w14:ligatures w14:val="none"/>
        </w:rPr>
        <w:t>اكتسب تشخيص أمراض اللثة باستخدام طريقة سريعة ودقيقة وغير جراحية اهتمامًا متزايدًا في العقود الماضية من قبل المجتمع العلمي. لا يؤدي الاكتشاف المبكر لأمراض دواعم السن إلى تحسين صحة الفم فحسب ، بل صحة الجهازية على أساس فردي ، مما يقلل من انتشار المرض والعبء الاقتصادي للمرض على مستوى المجتمع. لذلك ، تم إجراء العديد من التجارب السريرية في محاولة للتحقيق في المؤشرات الحيوية المتوفرة بكثرة في السوائل الحيوية الفموية للتنبؤ بأمراض اللثة وتشخيصها ومراقبتها.</w:t>
      </w:r>
    </w:p>
    <w:p w14:paraId="4B08D010" w14:textId="77777777" w:rsidR="008109D6" w:rsidRPr="008109D6" w:rsidRDefault="008109D6" w:rsidP="008109D6">
      <w:pPr>
        <w:bidi/>
        <w:spacing w:after="0" w:line="240" w:lineRule="auto"/>
        <w:jc w:val="both"/>
        <w:rPr>
          <w:rFonts w:asciiTheme="majorBidi" w:eastAsia="Times New Roman" w:hAnsiTheme="majorBidi" w:cstheme="majorBidi"/>
          <w:kern w:val="0"/>
          <w:sz w:val="28"/>
          <w:szCs w:val="28"/>
          <w:lang w:bidi="ar"/>
          <w14:ligatures w14:val="none"/>
        </w:rPr>
      </w:pPr>
    </w:p>
    <w:p w14:paraId="2C22CEFB" w14:textId="77777777" w:rsidR="008109D6" w:rsidRPr="008109D6" w:rsidRDefault="008109D6" w:rsidP="008109D6">
      <w:pPr>
        <w:bidi/>
        <w:spacing w:after="0" w:line="276" w:lineRule="auto"/>
        <w:rPr>
          <w:rFonts w:asciiTheme="majorBidi" w:eastAsia="Times New Roman" w:hAnsiTheme="majorBidi" w:cstheme="majorBidi"/>
          <w:b/>
          <w:bCs/>
          <w:color w:val="2E74B5" w:themeColor="accent5" w:themeShade="BF"/>
          <w:kern w:val="0"/>
          <w:sz w:val="32"/>
          <w:szCs w:val="32"/>
          <w:rtl/>
          <w:lang w:bidi="ar"/>
          <w14:ligatures w14:val="none"/>
        </w:rPr>
      </w:pPr>
      <w:r w:rsidRPr="008109D6">
        <w:rPr>
          <w:rFonts w:asciiTheme="majorBidi" w:eastAsia="Times New Roman" w:hAnsiTheme="majorBidi" w:cstheme="majorBidi" w:hint="cs"/>
          <w:b/>
          <w:bCs/>
          <w:color w:val="2E74B5" w:themeColor="accent5" w:themeShade="BF"/>
          <w:kern w:val="0"/>
          <w:sz w:val="32"/>
          <w:szCs w:val="32"/>
          <w:rtl/>
          <w:lang w:bidi="ar"/>
          <w14:ligatures w14:val="none"/>
        </w:rPr>
        <w:t>الهدف من الدراسة</w:t>
      </w:r>
    </w:p>
    <w:p w14:paraId="4E6B2C81" w14:textId="77777777" w:rsidR="008109D6" w:rsidRPr="008109D6" w:rsidRDefault="008109D6" w:rsidP="008109D6">
      <w:pPr>
        <w:bidi/>
        <w:spacing w:after="0" w:line="276" w:lineRule="auto"/>
        <w:jc w:val="both"/>
        <w:rPr>
          <w:rFonts w:asciiTheme="majorBidi" w:eastAsia="Times New Roman" w:hAnsiTheme="majorBidi" w:cstheme="majorBidi"/>
          <w:kern w:val="0"/>
          <w:sz w:val="28"/>
          <w:szCs w:val="28"/>
          <w:lang w:bidi="ar"/>
          <w14:ligatures w14:val="none"/>
        </w:rPr>
      </w:pPr>
      <w:r w:rsidRPr="008109D6">
        <w:rPr>
          <w:rFonts w:asciiTheme="majorBidi" w:eastAsia="Times New Roman" w:hAnsiTheme="majorBidi" w:cstheme="majorBidi" w:hint="cs"/>
          <w:kern w:val="0"/>
          <w:sz w:val="28"/>
          <w:szCs w:val="28"/>
          <w:rtl/>
          <w:lang w:bidi="ar"/>
          <w14:ligatures w14:val="none"/>
        </w:rPr>
        <w:t xml:space="preserve">أجريت هذه الدراسة لتحديد الحساسية التشخيصية ونوعية الإنترلوكين اللعابي </w:t>
      </w:r>
      <w:r w:rsidRPr="008109D6">
        <w:rPr>
          <w:rFonts w:asciiTheme="majorBidi" w:eastAsia="Times New Roman" w:hAnsiTheme="majorBidi" w:cstheme="majorBidi" w:hint="cs"/>
          <w:kern w:val="0"/>
          <w:sz w:val="28"/>
          <w:szCs w:val="28"/>
          <w:lang w:bidi="ar-IQ"/>
          <w14:ligatures w14:val="none"/>
        </w:rPr>
        <w:t xml:space="preserve">(IL) -1β </w:t>
      </w:r>
      <w:r w:rsidRPr="008109D6">
        <w:rPr>
          <w:rFonts w:asciiTheme="majorBidi" w:eastAsia="Times New Roman" w:hAnsiTheme="majorBidi" w:cstheme="majorBidi" w:hint="cs"/>
          <w:kern w:val="0"/>
          <w:sz w:val="28"/>
          <w:szCs w:val="28"/>
          <w:rtl/>
          <w:lang w:bidi="ar"/>
          <w14:ligatures w14:val="none"/>
        </w:rPr>
        <w:t xml:space="preserve">، </w:t>
      </w:r>
      <w:r w:rsidRPr="008109D6">
        <w:rPr>
          <w:rFonts w:asciiTheme="majorBidi" w:eastAsia="Times New Roman" w:hAnsiTheme="majorBidi" w:cstheme="majorBidi" w:hint="cs"/>
          <w:kern w:val="0"/>
          <w:sz w:val="28"/>
          <w:szCs w:val="28"/>
          <w:lang w:bidi="ar-IQ"/>
          <w14:ligatures w14:val="none"/>
        </w:rPr>
        <w:t>IL-17</w:t>
      </w:r>
      <w:r w:rsidRPr="008109D6">
        <w:rPr>
          <w:rFonts w:asciiTheme="majorBidi" w:eastAsia="Times New Roman" w:hAnsiTheme="majorBidi" w:cstheme="majorBidi" w:hint="cs"/>
          <w:kern w:val="0"/>
          <w:sz w:val="28"/>
          <w:szCs w:val="28"/>
          <w:rtl/>
          <w:lang w:bidi="ar"/>
          <w14:ligatures w14:val="none"/>
        </w:rPr>
        <w:t xml:space="preserve"> ، منشط مستقبلات العامل النووي </w:t>
      </w:r>
      <w:proofErr w:type="spellStart"/>
      <w:r w:rsidRPr="008109D6">
        <w:rPr>
          <w:rFonts w:asciiTheme="majorBidi" w:eastAsia="Times New Roman" w:hAnsiTheme="majorBidi" w:cstheme="majorBidi" w:hint="cs"/>
          <w:kern w:val="0"/>
          <w:sz w:val="28"/>
          <w:szCs w:val="28"/>
          <w:lang w:bidi="ar-IQ"/>
          <w14:ligatures w14:val="none"/>
        </w:rPr>
        <w:t>κB</w:t>
      </w:r>
      <w:proofErr w:type="spellEnd"/>
      <w:r w:rsidRPr="008109D6">
        <w:rPr>
          <w:rFonts w:asciiTheme="majorBidi" w:eastAsia="Times New Roman" w:hAnsiTheme="majorBidi" w:cstheme="majorBidi" w:hint="cs"/>
          <w:kern w:val="0"/>
          <w:sz w:val="28"/>
          <w:szCs w:val="28"/>
          <w:lang w:bidi="ar-IQ"/>
          <w14:ligatures w14:val="none"/>
        </w:rPr>
        <w:t xml:space="preserve"> ligand (RANKL)</w:t>
      </w:r>
      <w:r w:rsidRPr="008109D6">
        <w:rPr>
          <w:rFonts w:asciiTheme="majorBidi" w:eastAsia="Times New Roman" w:hAnsiTheme="majorBidi" w:cstheme="majorBidi" w:hint="cs"/>
          <w:kern w:val="0"/>
          <w:sz w:val="28"/>
          <w:szCs w:val="28"/>
          <w:rtl/>
          <w:lang w:bidi="ar"/>
          <w14:ligatures w14:val="none"/>
        </w:rPr>
        <w:t xml:space="preserve"> و </w:t>
      </w:r>
      <w:proofErr w:type="spellStart"/>
      <w:r w:rsidRPr="008109D6">
        <w:rPr>
          <w:rFonts w:asciiTheme="majorBidi" w:eastAsia="Times New Roman" w:hAnsiTheme="majorBidi" w:cstheme="majorBidi" w:hint="cs"/>
          <w:kern w:val="0"/>
          <w:sz w:val="28"/>
          <w:szCs w:val="28"/>
          <w:lang w:bidi="ar-IQ"/>
          <w14:ligatures w14:val="none"/>
        </w:rPr>
        <w:t>Osteoprotegerin</w:t>
      </w:r>
      <w:proofErr w:type="spellEnd"/>
      <w:r w:rsidRPr="008109D6">
        <w:rPr>
          <w:rFonts w:asciiTheme="majorBidi" w:eastAsia="Times New Roman" w:hAnsiTheme="majorBidi" w:cstheme="majorBidi" w:hint="cs"/>
          <w:kern w:val="0"/>
          <w:sz w:val="28"/>
          <w:szCs w:val="28"/>
          <w:lang w:bidi="ar-IQ"/>
          <w14:ligatures w14:val="none"/>
        </w:rPr>
        <w:t xml:space="preserve"> (OPG)</w:t>
      </w:r>
      <w:r w:rsidRPr="008109D6">
        <w:rPr>
          <w:rFonts w:asciiTheme="majorBidi" w:eastAsia="Times New Roman" w:hAnsiTheme="majorBidi" w:cstheme="majorBidi" w:hint="cs"/>
          <w:kern w:val="0"/>
          <w:sz w:val="28"/>
          <w:szCs w:val="28"/>
          <w:rtl/>
          <w:lang w:bidi="ar"/>
          <w14:ligatures w14:val="none"/>
        </w:rPr>
        <w:t xml:space="preserve"> للتمييز بين 1) صحة اللثة من المرض و 2) التهاب دواعم السن المستقر وغير المستقر.</w:t>
      </w:r>
    </w:p>
    <w:p w14:paraId="009728FC" w14:textId="77777777" w:rsidR="008109D6" w:rsidRPr="008109D6" w:rsidRDefault="008109D6" w:rsidP="008109D6">
      <w:pPr>
        <w:bidi/>
        <w:spacing w:after="0" w:line="240" w:lineRule="auto"/>
        <w:jc w:val="both"/>
        <w:rPr>
          <w:rFonts w:asciiTheme="majorBidi" w:eastAsia="Times New Roman" w:hAnsiTheme="majorBidi" w:cstheme="majorBidi"/>
          <w:kern w:val="0"/>
          <w:sz w:val="28"/>
          <w:szCs w:val="28"/>
          <w:lang w:bidi="ar"/>
          <w14:ligatures w14:val="none"/>
        </w:rPr>
      </w:pPr>
    </w:p>
    <w:p w14:paraId="420BF00A" w14:textId="77777777" w:rsidR="008109D6" w:rsidRPr="008109D6" w:rsidRDefault="008109D6" w:rsidP="008109D6">
      <w:pPr>
        <w:bidi/>
        <w:spacing w:after="0" w:line="276" w:lineRule="auto"/>
        <w:rPr>
          <w:rFonts w:asciiTheme="majorBidi" w:eastAsia="Times New Roman" w:hAnsiTheme="majorBidi" w:cstheme="majorBidi"/>
          <w:b/>
          <w:bCs/>
          <w:color w:val="2E74B5" w:themeColor="accent5" w:themeShade="BF"/>
          <w:kern w:val="0"/>
          <w:sz w:val="32"/>
          <w:szCs w:val="32"/>
          <w:rtl/>
          <w:lang w:bidi="ar"/>
          <w14:ligatures w14:val="none"/>
        </w:rPr>
      </w:pPr>
      <w:r w:rsidRPr="008109D6">
        <w:rPr>
          <w:rFonts w:asciiTheme="majorBidi" w:eastAsia="Times New Roman" w:hAnsiTheme="majorBidi" w:cstheme="majorBidi" w:hint="cs"/>
          <w:b/>
          <w:bCs/>
          <w:color w:val="2E74B5" w:themeColor="accent5" w:themeShade="BF"/>
          <w:kern w:val="0"/>
          <w:sz w:val="32"/>
          <w:szCs w:val="32"/>
          <w:rtl/>
          <w:lang w:bidi="ar"/>
          <w14:ligatures w14:val="none"/>
        </w:rPr>
        <w:t>المنهج</w:t>
      </w:r>
    </w:p>
    <w:p w14:paraId="5F0474B7" w14:textId="77777777" w:rsidR="008109D6" w:rsidRPr="008109D6" w:rsidRDefault="008109D6" w:rsidP="008109D6">
      <w:pPr>
        <w:bidi/>
        <w:spacing w:after="0" w:line="276" w:lineRule="auto"/>
        <w:jc w:val="both"/>
        <w:rPr>
          <w:rFonts w:asciiTheme="majorBidi" w:eastAsia="Times New Roman" w:hAnsiTheme="majorBidi" w:cstheme="majorBidi"/>
          <w:kern w:val="0"/>
          <w:sz w:val="28"/>
          <w:szCs w:val="28"/>
          <w:lang w:bidi="ar"/>
          <w14:ligatures w14:val="none"/>
        </w:rPr>
      </w:pPr>
      <w:r w:rsidRPr="008109D6">
        <w:rPr>
          <w:rFonts w:asciiTheme="majorBidi" w:eastAsia="Times New Roman" w:hAnsiTheme="majorBidi" w:cstheme="majorBidi" w:hint="cs"/>
          <w:kern w:val="0"/>
          <w:sz w:val="28"/>
          <w:szCs w:val="28"/>
          <w:rtl/>
          <w:lang w:bidi="ar"/>
          <w14:ligatures w14:val="none"/>
        </w:rPr>
        <w:t>تم إجراء دراسة الحالة والشواهد هذه من خلال جمع عينة كاملة من اللعاب غير المحفزة من 100 مريض تم تقسيمهم إلى أربع مجموعات ؛ اللثة الصحية (السيطرة ، ن = 25) ، التهاب اللثة (ن = 25) ، التهاب دواعم السن المستقر وغير المستقر (ن = 25 لكل منهما). تم تسجيل معاملات دواعم الأسنان السريرية التي شملت مؤشر البلاك (</w:t>
      </w:r>
      <w:r w:rsidRPr="008109D6">
        <w:rPr>
          <w:rFonts w:asciiTheme="majorBidi" w:eastAsia="Times New Roman" w:hAnsiTheme="majorBidi" w:cstheme="majorBidi" w:hint="cs"/>
          <w:kern w:val="0"/>
          <w:sz w:val="28"/>
          <w:szCs w:val="28"/>
          <w:lang w:bidi="ar-IQ"/>
          <w14:ligatures w14:val="none"/>
        </w:rPr>
        <w:t>PI</w:t>
      </w:r>
      <w:r w:rsidRPr="008109D6">
        <w:rPr>
          <w:rFonts w:asciiTheme="majorBidi" w:eastAsia="Times New Roman" w:hAnsiTheme="majorBidi" w:cstheme="majorBidi" w:hint="cs"/>
          <w:kern w:val="0"/>
          <w:sz w:val="28"/>
          <w:szCs w:val="28"/>
          <w:rtl/>
          <w:lang w:bidi="ar"/>
          <w14:ligatures w14:val="none"/>
        </w:rPr>
        <w:t>) والنزيف عند السبر (</w:t>
      </w:r>
      <w:r w:rsidRPr="008109D6">
        <w:rPr>
          <w:rFonts w:asciiTheme="majorBidi" w:eastAsia="Times New Roman" w:hAnsiTheme="majorBidi" w:cstheme="majorBidi" w:hint="cs"/>
          <w:kern w:val="0"/>
          <w:sz w:val="28"/>
          <w:szCs w:val="28"/>
          <w:lang w:bidi="ar-IQ"/>
          <w14:ligatures w14:val="none"/>
        </w:rPr>
        <w:t>BOP</w:t>
      </w:r>
      <w:r w:rsidRPr="008109D6">
        <w:rPr>
          <w:rFonts w:asciiTheme="majorBidi" w:eastAsia="Times New Roman" w:hAnsiTheme="majorBidi" w:cstheme="majorBidi" w:hint="cs"/>
          <w:kern w:val="0"/>
          <w:sz w:val="28"/>
          <w:szCs w:val="28"/>
          <w:rtl/>
          <w:lang w:bidi="ar"/>
          <w14:ligatures w14:val="none"/>
        </w:rPr>
        <w:t>) وعمق فحص اللثة (</w:t>
      </w:r>
      <w:r w:rsidRPr="008109D6">
        <w:rPr>
          <w:rFonts w:asciiTheme="majorBidi" w:eastAsia="Times New Roman" w:hAnsiTheme="majorBidi" w:cstheme="majorBidi" w:hint="cs"/>
          <w:kern w:val="0"/>
          <w:sz w:val="28"/>
          <w:szCs w:val="28"/>
          <w:lang w:bidi="ar-IQ"/>
          <w14:ligatures w14:val="none"/>
        </w:rPr>
        <w:t>PPD</w:t>
      </w:r>
      <w:r w:rsidRPr="008109D6">
        <w:rPr>
          <w:rFonts w:asciiTheme="majorBidi" w:eastAsia="Times New Roman" w:hAnsiTheme="majorBidi" w:cstheme="majorBidi" w:hint="cs"/>
          <w:kern w:val="0"/>
          <w:sz w:val="28"/>
          <w:szCs w:val="28"/>
          <w:rtl/>
          <w:lang w:bidi="ar"/>
          <w14:ligatures w14:val="none"/>
        </w:rPr>
        <w:t>) ومستوى التعلق السريري (</w:t>
      </w:r>
      <w:r w:rsidRPr="008109D6">
        <w:rPr>
          <w:rFonts w:asciiTheme="majorBidi" w:eastAsia="Times New Roman" w:hAnsiTheme="majorBidi" w:cstheme="majorBidi" w:hint="cs"/>
          <w:kern w:val="0"/>
          <w:sz w:val="28"/>
          <w:szCs w:val="28"/>
          <w:lang w:bidi="ar-IQ"/>
          <w14:ligatures w14:val="none"/>
        </w:rPr>
        <w:t>CAL</w:t>
      </w:r>
      <w:r w:rsidRPr="008109D6">
        <w:rPr>
          <w:rFonts w:asciiTheme="majorBidi" w:eastAsia="Times New Roman" w:hAnsiTheme="majorBidi" w:cstheme="majorBidi" w:hint="cs"/>
          <w:kern w:val="0"/>
          <w:sz w:val="28"/>
          <w:szCs w:val="28"/>
          <w:rtl/>
          <w:lang w:bidi="ar"/>
          <w14:ligatures w14:val="none"/>
        </w:rPr>
        <w:t xml:space="preserve">) وعدد الأسنان المفقودة لجميع العينات. تم تحديد مستويات البروتين في اللعاب </w:t>
      </w:r>
      <w:r w:rsidRPr="008109D6">
        <w:rPr>
          <w:rFonts w:asciiTheme="majorBidi" w:eastAsia="Times New Roman" w:hAnsiTheme="majorBidi" w:cstheme="majorBidi" w:hint="cs"/>
          <w:kern w:val="0"/>
          <w:sz w:val="28"/>
          <w:szCs w:val="28"/>
          <w:lang w:bidi="ar-IQ"/>
          <w14:ligatures w14:val="none"/>
        </w:rPr>
        <w:t>IL-1β</w:t>
      </w:r>
      <w:r w:rsidRPr="008109D6">
        <w:rPr>
          <w:rFonts w:asciiTheme="majorBidi" w:eastAsia="Times New Roman" w:hAnsiTheme="majorBidi" w:cstheme="majorBidi" w:hint="cs"/>
          <w:kern w:val="0"/>
          <w:sz w:val="28"/>
          <w:szCs w:val="28"/>
          <w:rtl/>
          <w:lang w:bidi="ar"/>
          <w14:ligatures w14:val="none"/>
        </w:rPr>
        <w:t xml:space="preserve"> و </w:t>
      </w:r>
      <w:r w:rsidRPr="008109D6">
        <w:rPr>
          <w:rFonts w:asciiTheme="majorBidi" w:eastAsia="Times New Roman" w:hAnsiTheme="majorBidi" w:cstheme="majorBidi" w:hint="cs"/>
          <w:kern w:val="0"/>
          <w:sz w:val="28"/>
          <w:szCs w:val="28"/>
          <w:lang w:bidi="ar-IQ"/>
          <w14:ligatures w14:val="none"/>
        </w:rPr>
        <w:t>IL-17</w:t>
      </w:r>
      <w:r w:rsidRPr="008109D6">
        <w:rPr>
          <w:rFonts w:asciiTheme="majorBidi" w:eastAsia="Times New Roman" w:hAnsiTheme="majorBidi" w:cstheme="majorBidi" w:hint="cs"/>
          <w:kern w:val="0"/>
          <w:sz w:val="28"/>
          <w:szCs w:val="28"/>
          <w:rtl/>
          <w:lang w:bidi="ar"/>
          <w14:ligatures w14:val="none"/>
        </w:rPr>
        <w:t xml:space="preserve"> و </w:t>
      </w:r>
      <w:r w:rsidRPr="008109D6">
        <w:rPr>
          <w:rFonts w:asciiTheme="majorBidi" w:eastAsia="Times New Roman" w:hAnsiTheme="majorBidi" w:cstheme="majorBidi" w:hint="cs"/>
          <w:kern w:val="0"/>
          <w:sz w:val="28"/>
          <w:szCs w:val="28"/>
          <w:lang w:bidi="ar-IQ"/>
          <w14:ligatures w14:val="none"/>
        </w:rPr>
        <w:t>RANKL</w:t>
      </w:r>
      <w:r w:rsidRPr="008109D6">
        <w:rPr>
          <w:rFonts w:asciiTheme="majorBidi" w:eastAsia="Times New Roman" w:hAnsiTheme="majorBidi" w:cstheme="majorBidi" w:hint="cs"/>
          <w:kern w:val="0"/>
          <w:sz w:val="28"/>
          <w:szCs w:val="28"/>
          <w:rtl/>
          <w:lang w:bidi="ar"/>
          <w14:ligatures w14:val="none"/>
        </w:rPr>
        <w:t xml:space="preserve"> و </w:t>
      </w:r>
      <w:r w:rsidRPr="008109D6">
        <w:rPr>
          <w:rFonts w:asciiTheme="majorBidi" w:eastAsia="Times New Roman" w:hAnsiTheme="majorBidi" w:cstheme="majorBidi" w:hint="cs"/>
          <w:kern w:val="0"/>
          <w:sz w:val="28"/>
          <w:szCs w:val="28"/>
          <w:lang w:bidi="ar-IQ"/>
          <w14:ligatures w14:val="none"/>
        </w:rPr>
        <w:t>OPG</w:t>
      </w:r>
      <w:r w:rsidRPr="008109D6">
        <w:rPr>
          <w:rFonts w:asciiTheme="majorBidi" w:eastAsia="Times New Roman" w:hAnsiTheme="majorBidi" w:cstheme="majorBidi" w:hint="cs"/>
          <w:kern w:val="0"/>
          <w:sz w:val="28"/>
          <w:szCs w:val="28"/>
          <w:rtl/>
          <w:lang w:bidi="ar"/>
          <w14:ligatures w14:val="none"/>
        </w:rPr>
        <w:t xml:space="preserve"> باستخدام تقنية المقايسات المناعية المرتبطة بالإنزيم (</w:t>
      </w:r>
      <w:r w:rsidRPr="008109D6">
        <w:rPr>
          <w:rFonts w:asciiTheme="majorBidi" w:eastAsia="Times New Roman" w:hAnsiTheme="majorBidi" w:cstheme="majorBidi" w:hint="cs"/>
          <w:kern w:val="0"/>
          <w:sz w:val="28"/>
          <w:szCs w:val="28"/>
          <w:lang w:bidi="ar-IQ"/>
          <w14:ligatures w14:val="none"/>
        </w:rPr>
        <w:t>ELISA</w:t>
      </w:r>
      <w:r w:rsidRPr="008109D6">
        <w:rPr>
          <w:rFonts w:asciiTheme="majorBidi" w:eastAsia="Times New Roman" w:hAnsiTheme="majorBidi" w:cstheme="majorBidi" w:hint="cs"/>
          <w:kern w:val="0"/>
          <w:sz w:val="28"/>
          <w:szCs w:val="28"/>
          <w:rtl/>
          <w:lang w:bidi="ar"/>
          <w14:ligatures w14:val="none"/>
        </w:rPr>
        <w:t xml:space="preserve">). تم استخدام برنامج </w:t>
      </w:r>
      <w:r w:rsidRPr="008109D6">
        <w:rPr>
          <w:rFonts w:asciiTheme="majorBidi" w:eastAsia="Times New Roman" w:hAnsiTheme="majorBidi" w:cstheme="majorBidi" w:hint="cs"/>
          <w:kern w:val="0"/>
          <w:sz w:val="28"/>
          <w:szCs w:val="28"/>
          <w:lang w:bidi="ar-IQ"/>
          <w14:ligatures w14:val="none"/>
        </w:rPr>
        <w:t>GraphPad Prism</w:t>
      </w:r>
      <w:r w:rsidRPr="008109D6">
        <w:rPr>
          <w:rFonts w:asciiTheme="majorBidi" w:eastAsia="Times New Roman" w:hAnsiTheme="majorBidi" w:cstheme="majorBidi" w:hint="cs"/>
          <w:kern w:val="0"/>
          <w:sz w:val="28"/>
          <w:szCs w:val="28"/>
          <w:rtl/>
          <w:lang w:bidi="ar"/>
          <w14:ligatures w14:val="none"/>
        </w:rPr>
        <w:t xml:space="preserve"> (الإصدار 9.2) لتحليل البيانات.</w:t>
      </w:r>
    </w:p>
    <w:p w14:paraId="48FE87EA" w14:textId="77777777" w:rsidR="008109D6" w:rsidRPr="008109D6" w:rsidRDefault="008109D6" w:rsidP="008109D6">
      <w:pPr>
        <w:bidi/>
        <w:spacing w:after="0" w:line="240" w:lineRule="auto"/>
        <w:jc w:val="both"/>
        <w:rPr>
          <w:rFonts w:asciiTheme="majorBidi" w:eastAsia="Times New Roman" w:hAnsiTheme="majorBidi" w:cstheme="majorBidi"/>
          <w:kern w:val="0"/>
          <w:sz w:val="28"/>
          <w:szCs w:val="28"/>
          <w:rtl/>
          <w:lang w:bidi="ar"/>
          <w14:ligatures w14:val="none"/>
        </w:rPr>
      </w:pPr>
    </w:p>
    <w:p w14:paraId="67B10A60" w14:textId="77777777" w:rsidR="008109D6" w:rsidRPr="008109D6" w:rsidRDefault="008109D6" w:rsidP="008109D6">
      <w:pPr>
        <w:bidi/>
        <w:spacing w:after="0" w:line="276" w:lineRule="auto"/>
        <w:rPr>
          <w:rFonts w:asciiTheme="majorBidi" w:eastAsia="Times New Roman" w:hAnsiTheme="majorBidi" w:cstheme="majorBidi"/>
          <w:b/>
          <w:bCs/>
          <w:color w:val="2E74B5" w:themeColor="accent5" w:themeShade="BF"/>
          <w:kern w:val="0"/>
          <w:sz w:val="32"/>
          <w:szCs w:val="32"/>
          <w:rtl/>
          <w:lang w:bidi="ar"/>
          <w14:ligatures w14:val="none"/>
        </w:rPr>
      </w:pPr>
      <w:r w:rsidRPr="008109D6">
        <w:rPr>
          <w:rFonts w:asciiTheme="majorBidi" w:eastAsia="Times New Roman" w:hAnsiTheme="majorBidi" w:cstheme="majorBidi" w:hint="cs"/>
          <w:b/>
          <w:bCs/>
          <w:color w:val="2E74B5" w:themeColor="accent5" w:themeShade="BF"/>
          <w:kern w:val="0"/>
          <w:sz w:val="32"/>
          <w:szCs w:val="32"/>
          <w:rtl/>
          <w:lang w:bidi="ar-IQ"/>
          <w14:ligatures w14:val="none"/>
        </w:rPr>
        <w:t>ال</w:t>
      </w:r>
      <w:r w:rsidRPr="008109D6">
        <w:rPr>
          <w:rFonts w:asciiTheme="majorBidi" w:eastAsia="Times New Roman" w:hAnsiTheme="majorBidi" w:cstheme="majorBidi" w:hint="cs"/>
          <w:b/>
          <w:bCs/>
          <w:color w:val="2E74B5" w:themeColor="accent5" w:themeShade="BF"/>
          <w:kern w:val="0"/>
          <w:sz w:val="32"/>
          <w:szCs w:val="32"/>
          <w:rtl/>
          <w:lang w:bidi="ar"/>
          <w14:ligatures w14:val="none"/>
        </w:rPr>
        <w:t>نتائج</w:t>
      </w:r>
    </w:p>
    <w:p w14:paraId="0DE7F412" w14:textId="77777777" w:rsidR="008109D6" w:rsidRPr="008109D6" w:rsidRDefault="008109D6" w:rsidP="008109D6">
      <w:pPr>
        <w:bidi/>
        <w:spacing w:after="0" w:line="276" w:lineRule="auto"/>
        <w:jc w:val="both"/>
        <w:rPr>
          <w:rFonts w:asciiTheme="majorBidi" w:eastAsia="Times New Roman" w:hAnsiTheme="majorBidi" w:cstheme="majorBidi"/>
          <w:kern w:val="0"/>
          <w:sz w:val="28"/>
          <w:szCs w:val="28"/>
          <w:lang w:bidi="ar"/>
          <w14:ligatures w14:val="none"/>
        </w:rPr>
      </w:pPr>
      <w:r w:rsidRPr="008109D6">
        <w:rPr>
          <w:rFonts w:asciiTheme="majorBidi" w:eastAsia="Times New Roman" w:hAnsiTheme="majorBidi" w:cstheme="majorBidi" w:hint="cs"/>
          <w:kern w:val="0"/>
          <w:sz w:val="28"/>
          <w:szCs w:val="28"/>
          <w:rtl/>
          <w:lang w:bidi="ar"/>
          <w14:ligatures w14:val="none"/>
        </w:rPr>
        <w:t xml:space="preserve">كان مستوى اللعاب من </w:t>
      </w:r>
      <w:r w:rsidRPr="008109D6">
        <w:rPr>
          <w:rFonts w:asciiTheme="majorBidi" w:eastAsia="Times New Roman" w:hAnsiTheme="majorBidi" w:cstheme="majorBidi" w:hint="cs"/>
          <w:kern w:val="0"/>
          <w:sz w:val="28"/>
          <w:szCs w:val="28"/>
          <w:lang w:bidi="ar-IQ"/>
          <w14:ligatures w14:val="none"/>
        </w:rPr>
        <w:t>IL-1β</w:t>
      </w:r>
      <w:r w:rsidRPr="008109D6">
        <w:rPr>
          <w:rFonts w:asciiTheme="majorBidi" w:eastAsia="Times New Roman" w:hAnsiTheme="majorBidi" w:cstheme="majorBidi" w:hint="cs"/>
          <w:kern w:val="0"/>
          <w:sz w:val="28"/>
          <w:szCs w:val="28"/>
          <w:rtl/>
          <w:lang w:bidi="ar"/>
          <w14:ligatures w14:val="none"/>
        </w:rPr>
        <w:t xml:space="preserve"> و </w:t>
      </w:r>
      <w:r w:rsidRPr="008109D6">
        <w:rPr>
          <w:rFonts w:asciiTheme="majorBidi" w:eastAsia="Times New Roman" w:hAnsiTheme="majorBidi" w:cstheme="majorBidi" w:hint="cs"/>
          <w:kern w:val="0"/>
          <w:sz w:val="28"/>
          <w:szCs w:val="28"/>
          <w:lang w:bidi="ar-IQ"/>
          <w14:ligatures w14:val="none"/>
        </w:rPr>
        <w:t>IL-17</w:t>
      </w:r>
      <w:r w:rsidRPr="008109D6">
        <w:rPr>
          <w:rFonts w:asciiTheme="majorBidi" w:eastAsia="Times New Roman" w:hAnsiTheme="majorBidi" w:cstheme="majorBidi" w:hint="cs"/>
          <w:kern w:val="0"/>
          <w:sz w:val="28"/>
          <w:szCs w:val="28"/>
          <w:rtl/>
          <w:lang w:bidi="ar"/>
          <w14:ligatures w14:val="none"/>
        </w:rPr>
        <w:t xml:space="preserve"> و </w:t>
      </w:r>
      <w:r w:rsidRPr="008109D6">
        <w:rPr>
          <w:rFonts w:asciiTheme="majorBidi" w:eastAsia="Times New Roman" w:hAnsiTheme="majorBidi" w:cstheme="majorBidi" w:hint="cs"/>
          <w:kern w:val="0"/>
          <w:sz w:val="28"/>
          <w:szCs w:val="28"/>
          <w:lang w:bidi="ar-IQ"/>
          <w14:ligatures w14:val="none"/>
        </w:rPr>
        <w:t>OPG</w:t>
      </w:r>
      <w:r w:rsidRPr="008109D6">
        <w:rPr>
          <w:rFonts w:asciiTheme="majorBidi" w:eastAsia="Times New Roman" w:hAnsiTheme="majorBidi" w:cstheme="majorBidi" w:hint="cs"/>
          <w:kern w:val="0"/>
          <w:sz w:val="28"/>
          <w:szCs w:val="28"/>
          <w:rtl/>
          <w:lang w:bidi="ar"/>
          <w14:ligatures w14:val="none"/>
        </w:rPr>
        <w:t xml:space="preserve"> و </w:t>
      </w:r>
      <w:r w:rsidRPr="008109D6">
        <w:rPr>
          <w:rFonts w:asciiTheme="majorBidi" w:eastAsia="Times New Roman" w:hAnsiTheme="majorBidi" w:cstheme="majorBidi" w:hint="cs"/>
          <w:kern w:val="0"/>
          <w:sz w:val="28"/>
          <w:szCs w:val="28"/>
          <w:lang w:bidi="ar-IQ"/>
          <w14:ligatures w14:val="none"/>
        </w:rPr>
        <w:t>RANKL</w:t>
      </w:r>
      <w:r w:rsidRPr="008109D6">
        <w:rPr>
          <w:rFonts w:asciiTheme="majorBidi" w:eastAsia="Times New Roman" w:hAnsiTheme="majorBidi" w:cstheme="majorBidi" w:hint="cs"/>
          <w:kern w:val="0"/>
          <w:sz w:val="28"/>
          <w:szCs w:val="28"/>
          <w:rtl/>
          <w:lang w:bidi="ar"/>
          <w14:ligatures w14:val="none"/>
        </w:rPr>
        <w:t xml:space="preserve"> أعلى في جميع المجموعات المريضة مقارنة بمجموعة التحكم. أظهرت المنطقة الواقعة تحت المنحنى (</w:t>
      </w:r>
      <w:r w:rsidRPr="008109D6">
        <w:rPr>
          <w:rFonts w:asciiTheme="majorBidi" w:eastAsia="Times New Roman" w:hAnsiTheme="majorBidi" w:cstheme="majorBidi" w:hint="cs"/>
          <w:kern w:val="0"/>
          <w:sz w:val="28"/>
          <w:szCs w:val="28"/>
          <w:lang w:bidi="ar-IQ"/>
          <w14:ligatures w14:val="none"/>
        </w:rPr>
        <w:t>AUC</w:t>
      </w:r>
      <w:r w:rsidRPr="008109D6">
        <w:rPr>
          <w:rFonts w:asciiTheme="majorBidi" w:eastAsia="Times New Roman" w:hAnsiTheme="majorBidi" w:cstheme="majorBidi" w:hint="cs"/>
          <w:kern w:val="0"/>
          <w:sz w:val="28"/>
          <w:szCs w:val="28"/>
          <w:rtl/>
          <w:lang w:bidi="ar"/>
          <w14:ligatures w14:val="none"/>
        </w:rPr>
        <w:t xml:space="preserve">) لـ </w:t>
      </w:r>
      <w:r w:rsidRPr="008109D6">
        <w:rPr>
          <w:rFonts w:asciiTheme="majorBidi" w:eastAsia="Times New Roman" w:hAnsiTheme="majorBidi" w:cstheme="majorBidi" w:hint="cs"/>
          <w:kern w:val="0"/>
          <w:sz w:val="28"/>
          <w:szCs w:val="28"/>
          <w:lang w:bidi="ar-IQ"/>
          <w14:ligatures w14:val="none"/>
        </w:rPr>
        <w:t>IL-1β</w:t>
      </w:r>
      <w:r w:rsidRPr="008109D6">
        <w:rPr>
          <w:rFonts w:asciiTheme="majorBidi" w:eastAsia="Times New Roman" w:hAnsiTheme="majorBidi" w:cstheme="majorBidi" w:hint="cs"/>
          <w:kern w:val="0"/>
          <w:sz w:val="28"/>
          <w:szCs w:val="28"/>
          <w:rtl/>
          <w:lang w:bidi="ar"/>
          <w14:ligatures w14:val="none"/>
        </w:rPr>
        <w:t xml:space="preserve"> و </w:t>
      </w:r>
      <w:r w:rsidRPr="008109D6">
        <w:rPr>
          <w:rFonts w:asciiTheme="majorBidi" w:eastAsia="Times New Roman" w:hAnsiTheme="majorBidi" w:cstheme="majorBidi" w:hint="cs"/>
          <w:kern w:val="0"/>
          <w:sz w:val="28"/>
          <w:szCs w:val="28"/>
          <w:lang w:bidi="ar-IQ"/>
          <w14:ligatures w14:val="none"/>
        </w:rPr>
        <w:t>IL-17</w:t>
      </w:r>
      <w:r w:rsidRPr="008109D6">
        <w:rPr>
          <w:rFonts w:asciiTheme="majorBidi" w:eastAsia="Times New Roman" w:hAnsiTheme="majorBidi" w:cstheme="majorBidi" w:hint="cs"/>
          <w:kern w:val="0"/>
          <w:sz w:val="28"/>
          <w:szCs w:val="28"/>
          <w:rtl/>
          <w:lang w:bidi="ar"/>
          <w14:ligatures w14:val="none"/>
        </w:rPr>
        <w:t xml:space="preserve"> و </w:t>
      </w:r>
      <w:r w:rsidRPr="008109D6">
        <w:rPr>
          <w:rFonts w:asciiTheme="majorBidi" w:eastAsia="Times New Roman" w:hAnsiTheme="majorBidi" w:cstheme="majorBidi" w:hint="cs"/>
          <w:kern w:val="0"/>
          <w:sz w:val="28"/>
          <w:szCs w:val="28"/>
          <w:lang w:bidi="ar-IQ"/>
          <w14:ligatures w14:val="none"/>
        </w:rPr>
        <w:t>OPG</w:t>
      </w:r>
      <w:r w:rsidRPr="008109D6">
        <w:rPr>
          <w:rFonts w:asciiTheme="majorBidi" w:eastAsia="Times New Roman" w:hAnsiTheme="majorBidi" w:cstheme="majorBidi" w:hint="cs"/>
          <w:kern w:val="0"/>
          <w:sz w:val="28"/>
          <w:szCs w:val="28"/>
          <w:rtl/>
          <w:lang w:bidi="ar"/>
          <w14:ligatures w14:val="none"/>
        </w:rPr>
        <w:t xml:space="preserve"> و </w:t>
      </w:r>
      <w:r w:rsidRPr="008109D6">
        <w:rPr>
          <w:rFonts w:asciiTheme="majorBidi" w:eastAsia="Times New Roman" w:hAnsiTheme="majorBidi" w:cstheme="majorBidi" w:hint="cs"/>
          <w:kern w:val="0"/>
          <w:sz w:val="28"/>
          <w:szCs w:val="28"/>
          <w:lang w:bidi="ar-IQ"/>
          <w14:ligatures w14:val="none"/>
        </w:rPr>
        <w:t>RANKL / OPG</w:t>
      </w:r>
      <w:r w:rsidRPr="008109D6">
        <w:rPr>
          <w:rFonts w:asciiTheme="majorBidi" w:eastAsia="Times New Roman" w:hAnsiTheme="majorBidi" w:cstheme="majorBidi" w:hint="cs"/>
          <w:kern w:val="0"/>
          <w:sz w:val="28"/>
          <w:szCs w:val="28"/>
          <w:rtl/>
          <w:lang w:bidi="ar"/>
          <w14:ligatures w14:val="none"/>
        </w:rPr>
        <w:t xml:space="preserve"> حساسية وخصوصية عالية للتمييز بين صحة اللثة والتهاب اللثة والتهاب دواعم السن. بالإضافة إلى ذلك ، أظهرت هذه المؤشرات الحيوية حساسية وخصوصية عالية للتمييز بين التهاب دواعم السن المستقر وغير المستقر. ومع ذلك ، لم تظهر المؤشرات الحيوية اللعابية حساسية كافية للتمييز بين التهاب اللثة والتهاب دواعم السن باستثناء </w:t>
      </w:r>
      <w:r w:rsidRPr="008109D6">
        <w:rPr>
          <w:rFonts w:asciiTheme="majorBidi" w:eastAsia="Times New Roman" w:hAnsiTheme="majorBidi" w:cstheme="majorBidi" w:hint="cs"/>
          <w:kern w:val="0"/>
          <w:sz w:val="28"/>
          <w:szCs w:val="28"/>
          <w:lang w:bidi="ar-IQ"/>
          <w14:ligatures w14:val="none"/>
        </w:rPr>
        <w:t>IL-17</w:t>
      </w:r>
      <w:r w:rsidRPr="008109D6">
        <w:rPr>
          <w:rFonts w:asciiTheme="majorBidi" w:eastAsia="Times New Roman" w:hAnsiTheme="majorBidi" w:cstheme="majorBidi" w:hint="cs"/>
          <w:kern w:val="0"/>
          <w:sz w:val="28"/>
          <w:szCs w:val="28"/>
          <w:rtl/>
          <w:lang w:bidi="ar"/>
          <w14:ligatures w14:val="none"/>
        </w:rPr>
        <w:t xml:space="preserve"> و </w:t>
      </w:r>
      <w:r w:rsidRPr="008109D6">
        <w:rPr>
          <w:rFonts w:asciiTheme="majorBidi" w:eastAsia="Times New Roman" w:hAnsiTheme="majorBidi" w:cstheme="majorBidi" w:hint="cs"/>
          <w:kern w:val="0"/>
          <w:sz w:val="28"/>
          <w:szCs w:val="28"/>
          <w:lang w:bidi="ar-IQ"/>
          <w14:ligatures w14:val="none"/>
        </w:rPr>
        <w:t>RANKL</w:t>
      </w:r>
      <w:r w:rsidRPr="008109D6">
        <w:rPr>
          <w:rFonts w:asciiTheme="majorBidi" w:eastAsia="Times New Roman" w:hAnsiTheme="majorBidi" w:cstheme="majorBidi" w:hint="cs"/>
          <w:kern w:val="0"/>
          <w:sz w:val="28"/>
          <w:szCs w:val="28"/>
          <w:rtl/>
          <w:lang w:bidi="ar"/>
          <w14:ligatures w14:val="none"/>
        </w:rPr>
        <w:t>.</w:t>
      </w:r>
    </w:p>
    <w:p w14:paraId="168B1F4C" w14:textId="77777777" w:rsidR="008109D6" w:rsidRPr="008109D6" w:rsidRDefault="008109D6" w:rsidP="008109D6">
      <w:pPr>
        <w:bidi/>
        <w:spacing w:after="0" w:line="240" w:lineRule="auto"/>
        <w:jc w:val="both"/>
        <w:rPr>
          <w:rFonts w:asciiTheme="majorBidi" w:eastAsia="Times New Roman" w:hAnsiTheme="majorBidi" w:cstheme="majorBidi"/>
          <w:kern w:val="0"/>
          <w:sz w:val="28"/>
          <w:szCs w:val="28"/>
          <w:lang w:bidi="ar"/>
          <w14:ligatures w14:val="none"/>
        </w:rPr>
      </w:pPr>
    </w:p>
    <w:p w14:paraId="723C6865" w14:textId="77777777" w:rsidR="008109D6" w:rsidRPr="008109D6" w:rsidRDefault="008109D6" w:rsidP="008109D6">
      <w:pPr>
        <w:bidi/>
        <w:spacing w:after="0" w:line="276" w:lineRule="auto"/>
        <w:jc w:val="both"/>
        <w:rPr>
          <w:rFonts w:asciiTheme="majorBidi" w:eastAsia="Times New Roman" w:hAnsiTheme="majorBidi" w:cstheme="majorBidi"/>
          <w:b/>
          <w:bCs/>
          <w:color w:val="2E74B5" w:themeColor="accent5" w:themeShade="BF"/>
          <w:kern w:val="0"/>
          <w:sz w:val="32"/>
          <w:szCs w:val="32"/>
          <w:rtl/>
          <w:lang w:bidi="ar"/>
          <w14:ligatures w14:val="none"/>
        </w:rPr>
      </w:pPr>
      <w:r w:rsidRPr="008109D6">
        <w:rPr>
          <w:rFonts w:asciiTheme="majorBidi" w:eastAsia="Times New Roman" w:hAnsiTheme="majorBidi" w:cstheme="majorBidi" w:hint="cs"/>
          <w:b/>
          <w:bCs/>
          <w:color w:val="2E74B5" w:themeColor="accent5" w:themeShade="BF"/>
          <w:kern w:val="0"/>
          <w:sz w:val="32"/>
          <w:szCs w:val="32"/>
          <w:rtl/>
          <w:lang w:bidi="ar"/>
          <w14:ligatures w14:val="none"/>
        </w:rPr>
        <w:t>الاستنتاج</w:t>
      </w:r>
    </w:p>
    <w:p w14:paraId="127DD6F7" w14:textId="77777777" w:rsidR="008109D6" w:rsidRPr="008109D6" w:rsidRDefault="008109D6" w:rsidP="008109D6">
      <w:pPr>
        <w:bidi/>
        <w:spacing w:after="0" w:line="276" w:lineRule="auto"/>
        <w:jc w:val="both"/>
        <w:rPr>
          <w:rFonts w:asciiTheme="majorBidi" w:eastAsia="Times New Roman" w:hAnsiTheme="majorBidi" w:cstheme="majorBidi"/>
          <w:kern w:val="0"/>
          <w:sz w:val="28"/>
          <w:szCs w:val="28"/>
          <w:lang w:bidi="ar-IQ"/>
          <w14:ligatures w14:val="none"/>
        </w:rPr>
      </w:pPr>
      <w:r w:rsidRPr="008109D6">
        <w:rPr>
          <w:rFonts w:asciiTheme="majorBidi" w:eastAsia="Times New Roman" w:hAnsiTheme="majorBidi" w:cstheme="majorBidi" w:hint="cs"/>
          <w:kern w:val="0"/>
          <w:sz w:val="28"/>
          <w:szCs w:val="28"/>
          <w:rtl/>
          <w:lang w:bidi="ar"/>
          <w14:ligatures w14:val="none"/>
        </w:rPr>
        <w:t xml:space="preserve">يعتبر نظام اللعاب </w:t>
      </w:r>
      <w:r w:rsidRPr="008109D6">
        <w:rPr>
          <w:rFonts w:asciiTheme="majorBidi" w:eastAsia="Times New Roman" w:hAnsiTheme="majorBidi" w:cstheme="majorBidi" w:hint="cs"/>
          <w:kern w:val="0"/>
          <w:sz w:val="28"/>
          <w:szCs w:val="28"/>
          <w:lang w:bidi="ar-IQ"/>
          <w14:ligatures w14:val="none"/>
        </w:rPr>
        <w:t>IL-1β</w:t>
      </w:r>
      <w:r w:rsidRPr="008109D6">
        <w:rPr>
          <w:rFonts w:asciiTheme="majorBidi" w:eastAsia="Times New Roman" w:hAnsiTheme="majorBidi" w:cstheme="majorBidi" w:hint="cs"/>
          <w:kern w:val="0"/>
          <w:sz w:val="28"/>
          <w:szCs w:val="28"/>
          <w:rtl/>
          <w:lang w:bidi="ar"/>
          <w14:ligatures w14:val="none"/>
        </w:rPr>
        <w:t xml:space="preserve"> و </w:t>
      </w:r>
      <w:r w:rsidRPr="008109D6">
        <w:rPr>
          <w:rFonts w:asciiTheme="majorBidi" w:eastAsia="Times New Roman" w:hAnsiTheme="majorBidi" w:cstheme="majorBidi" w:hint="cs"/>
          <w:kern w:val="0"/>
          <w:sz w:val="28"/>
          <w:szCs w:val="28"/>
          <w:lang w:bidi="ar-IQ"/>
          <w14:ligatures w14:val="none"/>
        </w:rPr>
        <w:t>IL-17</w:t>
      </w:r>
      <w:r w:rsidRPr="008109D6">
        <w:rPr>
          <w:rFonts w:asciiTheme="majorBidi" w:eastAsia="Times New Roman" w:hAnsiTheme="majorBidi" w:cstheme="majorBidi" w:hint="cs"/>
          <w:kern w:val="0"/>
          <w:sz w:val="28"/>
          <w:szCs w:val="28"/>
          <w:rtl/>
          <w:lang w:bidi="ar"/>
          <w14:ligatures w14:val="none"/>
        </w:rPr>
        <w:t xml:space="preserve"> و </w:t>
      </w:r>
      <w:r w:rsidRPr="008109D6">
        <w:rPr>
          <w:rFonts w:asciiTheme="majorBidi" w:eastAsia="Times New Roman" w:hAnsiTheme="majorBidi" w:cstheme="majorBidi" w:hint="cs"/>
          <w:kern w:val="0"/>
          <w:sz w:val="28"/>
          <w:szCs w:val="28"/>
          <w:lang w:bidi="ar-IQ"/>
          <w14:ligatures w14:val="none"/>
        </w:rPr>
        <w:t>RANKL</w:t>
      </w:r>
      <w:r w:rsidRPr="008109D6">
        <w:rPr>
          <w:rFonts w:asciiTheme="majorBidi" w:eastAsia="Times New Roman" w:hAnsiTheme="majorBidi" w:cstheme="majorBidi" w:hint="cs"/>
          <w:kern w:val="0"/>
          <w:sz w:val="28"/>
          <w:szCs w:val="28"/>
          <w:rtl/>
          <w:lang w:bidi="ar"/>
          <w14:ligatures w14:val="none"/>
        </w:rPr>
        <w:t xml:space="preserve"> و </w:t>
      </w:r>
      <w:r w:rsidRPr="008109D6">
        <w:rPr>
          <w:rFonts w:asciiTheme="majorBidi" w:eastAsia="Times New Roman" w:hAnsiTheme="majorBidi" w:cstheme="majorBidi" w:hint="cs"/>
          <w:kern w:val="0"/>
          <w:sz w:val="28"/>
          <w:szCs w:val="28"/>
          <w:lang w:bidi="ar-IQ"/>
          <w14:ligatures w14:val="none"/>
        </w:rPr>
        <w:t>OPG</w:t>
      </w:r>
      <w:r w:rsidRPr="008109D6">
        <w:rPr>
          <w:rFonts w:asciiTheme="majorBidi" w:eastAsia="Times New Roman" w:hAnsiTheme="majorBidi" w:cstheme="majorBidi" w:hint="cs"/>
          <w:kern w:val="0"/>
          <w:sz w:val="28"/>
          <w:szCs w:val="28"/>
          <w:rtl/>
          <w:lang w:bidi="ar"/>
          <w14:ligatures w14:val="none"/>
        </w:rPr>
        <w:t xml:space="preserve"> و </w:t>
      </w:r>
      <w:r w:rsidRPr="008109D6">
        <w:rPr>
          <w:rFonts w:asciiTheme="majorBidi" w:eastAsia="Times New Roman" w:hAnsiTheme="majorBidi" w:cstheme="majorBidi" w:hint="cs"/>
          <w:kern w:val="0"/>
          <w:sz w:val="28"/>
          <w:szCs w:val="28"/>
          <w:lang w:bidi="ar-IQ"/>
          <w14:ligatures w14:val="none"/>
        </w:rPr>
        <w:t>RANKL / OPG</w:t>
      </w:r>
      <w:r w:rsidRPr="008109D6">
        <w:rPr>
          <w:rFonts w:asciiTheme="majorBidi" w:eastAsia="Times New Roman" w:hAnsiTheme="majorBidi" w:cstheme="majorBidi" w:hint="cs"/>
          <w:kern w:val="0"/>
          <w:sz w:val="28"/>
          <w:szCs w:val="28"/>
          <w:rtl/>
          <w:lang w:bidi="ar"/>
          <w14:ligatures w14:val="none"/>
        </w:rPr>
        <w:t xml:space="preserve"> من المرشحين المحتملين للتمييز بين صحة اللثة والمرض ويميز التهاب دواعم السن المستقر وغير المستقر.</w:t>
      </w:r>
    </w:p>
    <w:sectPr w:rsidR="008109D6" w:rsidRPr="008109D6" w:rsidSect="008109D6">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9D6"/>
    <w:rsid w:val="0018763E"/>
    <w:rsid w:val="007F100F"/>
    <w:rsid w:val="008109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EFC5"/>
  <w15:chartTrackingRefBased/>
  <w15:docId w15:val="{507EB885-CEE3-45D0-AC42-EE053BD4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dc:creator>
  <cp:keywords/>
  <dc:description/>
  <cp:lastModifiedBy>mar</cp:lastModifiedBy>
  <cp:revision>1</cp:revision>
  <dcterms:created xsi:type="dcterms:W3CDTF">2023-05-04T14:45:00Z</dcterms:created>
  <dcterms:modified xsi:type="dcterms:W3CDTF">2023-05-04T14:47:00Z</dcterms:modified>
</cp:coreProperties>
</file>