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4E" w:rsidRPr="00D16A4E" w:rsidRDefault="00D16A4E" w:rsidP="00D16A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color w:val="0000FF"/>
          <w:sz w:val="23"/>
          <w:szCs w:val="23"/>
          <w:rtl/>
        </w:rPr>
        <w:t xml:space="preserve">توصيات الورشة :- </w:t>
      </w:r>
      <w:r w:rsidRPr="00D16A4E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rtl/>
        </w:rPr>
        <w:t>المراة وخطر الادمان ودورها في تهديد الامن المجتمعي والدولي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وصلت الورشة الى العديد من التوصيات منها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اولا:انشاء مركز وطني لمكافحة المخدرات في وزارة الصحة العراقية</w:t>
      </w: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ثانيا: العمل على ربط جهاز مكافحة المخدرات بمجلس الوزراء العراقي</w:t>
      </w: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 xml:space="preserve">ثالثا:العمل على توحيد </w:t>
      </w:r>
      <w:bookmarkStart w:id="0" w:name="_GoBack"/>
      <w:bookmarkEnd w:id="0"/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الجهود من قبل وزارات الدولة العراقية المعنية بشؤون المخدرات وتوحيد الجهود المبعثرة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رابعا:اعادة النظر بقانون المخدرات والمؤثرات العقلية رقم (٥٠) لسنة ٢٠١٧</w:t>
      </w:r>
    </w:p>
    <w:p w:rsidR="00D16A4E" w:rsidRPr="00D16A4E" w:rsidRDefault="00D16A4E" w:rsidP="00D16A4E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  <w:rtl/>
        </w:rPr>
        <w:t>خامسا : اعداد خطة استراتيجية تتضمن برامج تدريبية علاجية في الجوانب الدينية التوعوية الإعلامية والثقافية وتخصيص ميزانية معنية لمكافحة المخدرات واستنفار كل الوزرات والمؤسسات الحكومية ذات العلاقة لوقف هذه الظاهرة</w:t>
      </w:r>
      <w:r w:rsidRPr="00D16A4E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300121" w:rsidRPr="00D16A4E" w:rsidRDefault="00D16A4E"/>
    <w:sectPr w:rsidR="00300121" w:rsidRPr="00D16A4E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4E"/>
    <w:rsid w:val="00B32AB3"/>
    <w:rsid w:val="00D16A4E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F70CE-1574-4D92-8DAF-DAA355D1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2023-05-21T08:53:00Z</dcterms:created>
  <dcterms:modified xsi:type="dcterms:W3CDTF">2023-05-21T08:54:00Z</dcterms:modified>
</cp:coreProperties>
</file>